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744" w:rsidRDefault="00700D8E" w:rsidP="00C32F60">
      <w:bookmarkStart w:id="0" w:name="_GoBack"/>
      <w:bookmarkEnd w:id="0"/>
      <w:r>
        <w:t>PS 23/20 Jaarstukken 2019</w:t>
      </w:r>
    </w:p>
    <w:p w:rsidR="00700D8E" w:rsidRDefault="00700D8E" w:rsidP="00C32F60">
      <w:r>
        <w:t>Extra toevoegingen en onttrekkingen aan reserves</w:t>
      </w:r>
    </w:p>
    <w:p w:rsidR="0001453B" w:rsidRDefault="0001453B" w:rsidP="00C32F60"/>
    <w:tbl>
      <w:tblPr>
        <w:tblW w:w="7519" w:type="dxa"/>
        <w:tblCellMar>
          <w:left w:w="70" w:type="dxa"/>
          <w:right w:w="70" w:type="dxa"/>
        </w:tblCellMar>
        <w:tblLook w:val="04A0" w:firstRow="1" w:lastRow="0" w:firstColumn="1" w:lastColumn="0" w:noHBand="0" w:noVBand="1"/>
      </w:tblPr>
      <w:tblGrid>
        <w:gridCol w:w="436"/>
        <w:gridCol w:w="5943"/>
        <w:gridCol w:w="1140"/>
      </w:tblGrid>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bijlage 2</w:t>
            </w:r>
          </w:p>
        </w:tc>
      </w:tr>
      <w:tr w:rsidR="0001453B" w:rsidRPr="0001453B" w:rsidTr="0001453B">
        <w:trPr>
          <w:trHeight w:val="270"/>
        </w:trPr>
        <w:tc>
          <w:tcPr>
            <w:tcW w:w="436" w:type="dxa"/>
            <w:tcBorders>
              <w:top w:val="single" w:sz="8" w:space="0" w:color="auto"/>
              <w:left w:val="nil"/>
              <w:bottom w:val="single" w:sz="8" w:space="0" w:color="auto"/>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single" w:sz="8" w:space="0" w:color="auto"/>
              <w:left w:val="nil"/>
              <w:bottom w:val="single" w:sz="8" w:space="0" w:color="auto"/>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Extra stortingen</w:t>
            </w:r>
          </w:p>
        </w:tc>
        <w:tc>
          <w:tcPr>
            <w:tcW w:w="1140" w:type="dxa"/>
            <w:tcBorders>
              <w:top w:val="single" w:sz="8" w:space="0" w:color="auto"/>
              <w:left w:val="nil"/>
              <w:bottom w:val="single" w:sz="8" w:space="0" w:color="auto"/>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 </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a</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xml:space="preserve">Toevoeging Reserve Ontwikkelbedrijf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1.403.789</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b</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1.534.934</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c</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 - breedbandfonds</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952.722</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d</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 - innovatiefonds</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2.723.759</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e</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Investeringsagenda-Energiefonds</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3.096.932</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f</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 immunisatieportefeuille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61.989</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g</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998.514</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h</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dividend en rente-reserve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1.797.725</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i</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reserve Essent Investeringsagenda</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186.737</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j</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Toevoeging risicoreserve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333.275</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 </w:t>
            </w:r>
          </w:p>
        </w:tc>
      </w:tr>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Totaal extra stortingen</w:t>
            </w:r>
          </w:p>
        </w:tc>
        <w:tc>
          <w:tcPr>
            <w:tcW w:w="1140" w:type="dxa"/>
            <w:tcBorders>
              <w:top w:val="single" w:sz="4" w:space="0" w:color="auto"/>
              <w:left w:val="nil"/>
              <w:bottom w:val="double" w:sz="6" w:space="0" w:color="auto"/>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13.090.375</w:t>
            </w:r>
          </w:p>
        </w:tc>
      </w:tr>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r>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r>
      <w:tr w:rsidR="0001453B" w:rsidRPr="0001453B" w:rsidTr="0001453B">
        <w:trPr>
          <w:trHeight w:val="270"/>
        </w:trPr>
        <w:tc>
          <w:tcPr>
            <w:tcW w:w="436" w:type="dxa"/>
            <w:tcBorders>
              <w:top w:val="single" w:sz="8" w:space="0" w:color="auto"/>
              <w:left w:val="nil"/>
              <w:bottom w:val="single" w:sz="8" w:space="0" w:color="auto"/>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single" w:sz="8" w:space="0" w:color="auto"/>
              <w:left w:val="nil"/>
              <w:bottom w:val="single" w:sz="8" w:space="0" w:color="auto"/>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Extra onttrekkingen</w:t>
            </w:r>
          </w:p>
        </w:tc>
        <w:tc>
          <w:tcPr>
            <w:tcW w:w="1140" w:type="dxa"/>
            <w:tcBorders>
              <w:top w:val="single" w:sz="8" w:space="0" w:color="auto"/>
              <w:left w:val="nil"/>
              <w:bottom w:val="single" w:sz="8" w:space="0" w:color="auto"/>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k</w:t>
            </w:r>
          </w:p>
        </w:tc>
        <w:tc>
          <w:tcPr>
            <w:tcW w:w="5943"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Onttrekking reserve VTH omgevingsdiensten</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1.027.248</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l</w:t>
            </w:r>
          </w:p>
        </w:tc>
        <w:tc>
          <w:tcPr>
            <w:tcW w:w="5943"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Onttrekking risicoreserve grondportefeuille De Kempen</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106.095</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m</w:t>
            </w:r>
          </w:p>
        </w:tc>
        <w:tc>
          <w:tcPr>
            <w:tcW w:w="5943"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Onttrekking Res Ontwikkelbedr. (grdbank)</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2.992.925</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n</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Onttrekking reserve essent - immunisatieportefeuille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61.989</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w:t>
            </w:r>
          </w:p>
        </w:tc>
        <w:tc>
          <w:tcPr>
            <w:tcW w:w="5943"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Onttrekking dividend en rentereserve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884.190</w:t>
            </w:r>
          </w:p>
        </w:tc>
      </w:tr>
      <w:tr w:rsidR="0001453B" w:rsidRPr="0001453B" w:rsidTr="0001453B">
        <w:trPr>
          <w:trHeight w:val="255"/>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p</w:t>
            </w:r>
          </w:p>
        </w:tc>
        <w:tc>
          <w:tcPr>
            <w:tcW w:w="5943"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Onttrekking reserve ontwikkelbedrijf - de Beerze</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75.954</w:t>
            </w:r>
          </w:p>
        </w:tc>
      </w:tr>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1140"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r>
      <w:tr w:rsidR="0001453B" w:rsidRPr="0001453B" w:rsidTr="0001453B">
        <w:trPr>
          <w:trHeight w:val="270"/>
        </w:trPr>
        <w:tc>
          <w:tcPr>
            <w:tcW w:w="436" w:type="dxa"/>
            <w:tcBorders>
              <w:top w:val="nil"/>
              <w:left w:val="nil"/>
              <w:bottom w:val="nil"/>
              <w:right w:val="nil"/>
            </w:tcBorders>
            <w:shd w:val="clear" w:color="000000" w:fill="FFFFFF"/>
            <w:noWrap/>
            <w:hideMark/>
          </w:tcPr>
          <w:p w:rsidR="0001453B" w:rsidRPr="0001453B" w:rsidRDefault="0001453B" w:rsidP="0001453B">
            <w:pPr>
              <w:spacing w:line="240" w:lineRule="auto"/>
              <w:rPr>
                <w:color w:val="000000"/>
                <w:sz w:val="18"/>
                <w:szCs w:val="18"/>
              </w:rPr>
            </w:pPr>
            <w:r w:rsidRPr="0001453B">
              <w:rPr>
                <w:color w:val="000000"/>
                <w:sz w:val="18"/>
                <w:szCs w:val="18"/>
              </w:rPr>
              <w:t> </w:t>
            </w:r>
          </w:p>
        </w:tc>
        <w:tc>
          <w:tcPr>
            <w:tcW w:w="5943" w:type="dxa"/>
            <w:tcBorders>
              <w:top w:val="nil"/>
              <w:left w:val="nil"/>
              <w:bottom w:val="nil"/>
              <w:right w:val="nil"/>
            </w:tcBorders>
            <w:shd w:val="clear" w:color="000000" w:fill="FFFFFF"/>
            <w:hideMark/>
          </w:tcPr>
          <w:p w:rsidR="0001453B" w:rsidRPr="0001453B" w:rsidRDefault="0001453B" w:rsidP="0001453B">
            <w:pPr>
              <w:spacing w:line="240" w:lineRule="auto"/>
              <w:rPr>
                <w:color w:val="000000"/>
                <w:sz w:val="18"/>
                <w:szCs w:val="18"/>
              </w:rPr>
            </w:pPr>
            <w:r w:rsidRPr="0001453B">
              <w:rPr>
                <w:color w:val="000000"/>
                <w:sz w:val="18"/>
                <w:szCs w:val="18"/>
              </w:rPr>
              <w:t>Totaal extra onttrekkingen</w:t>
            </w:r>
          </w:p>
        </w:tc>
        <w:tc>
          <w:tcPr>
            <w:tcW w:w="1140" w:type="dxa"/>
            <w:tcBorders>
              <w:top w:val="single" w:sz="8" w:space="0" w:color="auto"/>
              <w:left w:val="nil"/>
              <w:bottom w:val="double" w:sz="6" w:space="0" w:color="auto"/>
              <w:right w:val="nil"/>
            </w:tcBorders>
            <w:shd w:val="clear" w:color="000000" w:fill="FFFFFF"/>
            <w:noWrap/>
            <w:hideMark/>
          </w:tcPr>
          <w:p w:rsidR="0001453B" w:rsidRPr="0001453B" w:rsidRDefault="0001453B" w:rsidP="0001453B">
            <w:pPr>
              <w:spacing w:line="240" w:lineRule="auto"/>
              <w:jc w:val="right"/>
              <w:rPr>
                <w:color w:val="000000"/>
                <w:sz w:val="18"/>
                <w:szCs w:val="18"/>
              </w:rPr>
            </w:pPr>
            <w:r w:rsidRPr="0001453B">
              <w:rPr>
                <w:color w:val="000000"/>
                <w:sz w:val="18"/>
                <w:szCs w:val="18"/>
              </w:rPr>
              <w:t>5.148.401</w:t>
            </w:r>
          </w:p>
        </w:tc>
      </w:tr>
    </w:tbl>
    <w:p w:rsidR="0001453B" w:rsidRDefault="0001453B" w:rsidP="00C32F60"/>
    <w:p w:rsidR="0001453B" w:rsidRDefault="0001453B" w:rsidP="00C32F60"/>
    <w:p w:rsidR="00700D8E" w:rsidRPr="002A0F01" w:rsidRDefault="00700D8E" w:rsidP="00C32F60">
      <w:pPr>
        <w:rPr>
          <w:i/>
        </w:rPr>
      </w:pPr>
      <w:r w:rsidRPr="002A0F01">
        <w:rPr>
          <w:i/>
        </w:rPr>
        <w:t>Toelichting stortingen in reserves</w:t>
      </w:r>
    </w:p>
    <w:p w:rsidR="002A0F01" w:rsidRDefault="002A0F01" w:rsidP="002A0F01">
      <w:pPr>
        <w:ind w:left="567" w:hanging="567"/>
      </w:pPr>
      <w:r>
        <w:t>Ad a)</w:t>
      </w:r>
      <w:r>
        <w:tab/>
      </w:r>
      <w:r w:rsidRPr="006422DE">
        <w:t xml:space="preserve">In verband met de liquidatie van investeringsfondsen de Hoven en Havenmeester waarvan de baten in 2019 in het rekeningresultaat zijn verwerkt, moet in 2020 </w:t>
      </w:r>
      <w:r>
        <w:t xml:space="preserve">de toevoeging ad € 1,4 mln </w:t>
      </w:r>
      <w:r w:rsidRPr="006422DE">
        <w:t>aan de reserve ontwikkelbedrijf</w:t>
      </w:r>
      <w:r>
        <w:t xml:space="preserve"> nog worden verwerkt</w:t>
      </w:r>
      <w:r w:rsidRPr="006422DE">
        <w:t>.</w:t>
      </w:r>
    </w:p>
    <w:p w:rsidR="002A0F01" w:rsidRDefault="002A0F01" w:rsidP="002A0F01">
      <w:pPr>
        <w:ind w:left="567" w:hanging="567"/>
      </w:pPr>
    </w:p>
    <w:p w:rsidR="002A0F01" w:rsidRDefault="002A0F01" w:rsidP="002A0F01">
      <w:pPr>
        <w:ind w:left="567" w:hanging="567"/>
      </w:pPr>
      <w:r>
        <w:t>Ad b)</w:t>
      </w:r>
      <w:r>
        <w:tab/>
        <w:t xml:space="preserve"> </w:t>
      </w:r>
      <w:r w:rsidRPr="006422DE">
        <w:t xml:space="preserve">Prognoses laten zien dat de lening in het kader van het Biobasedfonds aan de BOM terugkomen. De voorziening ad € 1.534.934 is in 2019 vrijgevallen en wordt in 2020 tlv het rekeningresultaat 2019 aan de Essentreserve Investeringsagenda toegevoegd. </w:t>
      </w:r>
    </w:p>
    <w:p w:rsidR="002A0F01" w:rsidRDefault="002A0F01" w:rsidP="002A0F01">
      <w:pPr>
        <w:ind w:left="567" w:hanging="567"/>
      </w:pPr>
    </w:p>
    <w:p w:rsidR="002A0F01" w:rsidRDefault="002A0F01" w:rsidP="002A0F01">
      <w:pPr>
        <w:ind w:left="567" w:hanging="567"/>
      </w:pPr>
      <w:r>
        <w:t xml:space="preserve">Ad c) </w:t>
      </w:r>
      <w:r w:rsidRPr="006422DE">
        <w:t>Op basis van de prognoses is de verwachting dat alle kosten voor breedbandfonds worden gecompenseerd via nog te ontvangen rente in de toekomst. De voorziening ad € 952.722 is daarom vrijgevallen in 2019. Ten laste van het rekeningresultaat 2019 vindt in 2020 de storting in de reserve investeringsagenda plaats</w:t>
      </w:r>
      <w:r>
        <w:t>.</w:t>
      </w:r>
    </w:p>
    <w:p w:rsidR="002A0F01" w:rsidRDefault="002A0F01" w:rsidP="002A0F01">
      <w:pPr>
        <w:ind w:left="567" w:hanging="567"/>
      </w:pPr>
    </w:p>
    <w:p w:rsidR="002A0F01" w:rsidRDefault="002A0F01" w:rsidP="002A0F01">
      <w:pPr>
        <w:ind w:left="567" w:hanging="567"/>
      </w:pPr>
      <w:r>
        <w:t xml:space="preserve">Ad d) </w:t>
      </w:r>
      <w:r w:rsidRPr="006422DE">
        <w:t>De prognoses van het Innovatiefonds zijn zeer goed, daarom is de getroffen voorziening ad €</w:t>
      </w:r>
      <w:r>
        <w:t> </w:t>
      </w:r>
      <w:r w:rsidRPr="006422DE">
        <w:t xml:space="preserve"> 2.723.759 in 2019 vrijgevallen en wordt tlv het rekeningresultaat 2019 dit bedrag in 2020 in de reserve </w:t>
      </w:r>
      <w:r>
        <w:t>E</w:t>
      </w:r>
      <w:r w:rsidRPr="006422DE">
        <w:t xml:space="preserve">ssent investeringsagenda gestort. </w:t>
      </w:r>
    </w:p>
    <w:p w:rsidR="002A0F01" w:rsidRDefault="002A0F01" w:rsidP="002A0F01">
      <w:pPr>
        <w:ind w:left="567" w:hanging="567"/>
      </w:pPr>
    </w:p>
    <w:p w:rsidR="002A0F01" w:rsidRDefault="002A0F01" w:rsidP="002A0F01">
      <w:pPr>
        <w:ind w:left="567" w:hanging="567"/>
      </w:pPr>
      <w:r>
        <w:t>Ad e)</w:t>
      </w:r>
      <w:r w:rsidRPr="006422DE">
        <w:t xml:space="preserve"> De verwachtingen over het rendement van het Energiefonds zijn goed en o..b.v. de huidige verwachtingen hoeft er geen voorziening te worden getroffen. Deze voorziening ad € </w:t>
      </w:r>
      <w:r w:rsidRPr="006422DE">
        <w:lastRenderedPageBreak/>
        <w:t>3.096.932 is dus vrijgevallen in 2019. De vrijval wordt in 2020 tlv het rekeningresultaat 2019 toegevoegd aan de Essentreserve investeringsagenda.</w:t>
      </w:r>
    </w:p>
    <w:p w:rsidR="00E544B2" w:rsidRDefault="00E544B2" w:rsidP="002A0F01">
      <w:pPr>
        <w:ind w:left="567" w:hanging="567"/>
      </w:pPr>
    </w:p>
    <w:p w:rsidR="002A0F01" w:rsidRDefault="002A0F01" w:rsidP="002A0F01">
      <w:pPr>
        <w:ind w:left="567" w:hanging="567"/>
      </w:pPr>
      <w:r>
        <w:t xml:space="preserve">Ad f) </w:t>
      </w:r>
      <w:r w:rsidRPr="00C71644">
        <w:t>De afschrijvingskosten op de agio vielen in 2019 iets hoger uit dan geraamd en daarom wordt tlv het rekeningresultaat 2019 in 2020 € 61.989 toeg</w:t>
      </w:r>
      <w:r>
        <w:t>ev</w:t>
      </w:r>
      <w:r w:rsidRPr="00C71644">
        <w:t>oegd aan de Essentreserve immunisatie-portefeuille</w:t>
      </w:r>
      <w:r>
        <w:t>.</w:t>
      </w:r>
    </w:p>
    <w:p w:rsidR="002A0F01" w:rsidRDefault="002A0F01" w:rsidP="002A0F01">
      <w:pPr>
        <w:ind w:left="567" w:hanging="567"/>
      </w:pPr>
    </w:p>
    <w:p w:rsidR="002A0F01" w:rsidRDefault="002A0F01" w:rsidP="002A0F01">
      <w:pPr>
        <w:ind w:left="567" w:hanging="567"/>
      </w:pPr>
      <w:r>
        <w:t xml:space="preserve">Ad g) </w:t>
      </w:r>
      <w:r w:rsidRPr="00C71644">
        <w:t>Vanwege hoger dan geraamde boekwinst op verkoop obligaties en hogere dan geraamde renteinkomsten obligaties moet in 2020 nog € 998.514 aan de reserve Essent investeringsagenda worden toegevoegd</w:t>
      </w:r>
      <w:r>
        <w:t>.</w:t>
      </w:r>
    </w:p>
    <w:p w:rsidR="002A0F01" w:rsidRDefault="002A0F01" w:rsidP="002A0F01">
      <w:pPr>
        <w:ind w:left="567" w:hanging="567"/>
      </w:pPr>
    </w:p>
    <w:p w:rsidR="002A0F01" w:rsidRDefault="002A0F01" w:rsidP="002A0F01">
      <w:pPr>
        <w:ind w:left="567" w:hanging="567"/>
      </w:pPr>
      <w:r>
        <w:t xml:space="preserve">Ad h) </w:t>
      </w:r>
      <w:r w:rsidRPr="00C71644">
        <w:t>De boekwinst op de verkoop van obligaties kwam in 2019 hoger uit dan geraamd, dit surplus betreft hogere rente-inkomsten van de immunisatieportefeuille ad € 1.797.725 en wordt in 2020 tlv het rekeningresultaat toegevoegd aan de resserve Essent-dividend en rente reserve.</w:t>
      </w:r>
    </w:p>
    <w:p w:rsidR="002A0F01" w:rsidRDefault="002A0F01" w:rsidP="002A0F01">
      <w:pPr>
        <w:ind w:left="567" w:hanging="567"/>
      </w:pPr>
    </w:p>
    <w:p w:rsidR="002A0F01" w:rsidRDefault="002A0F01" w:rsidP="002A0F01">
      <w:pPr>
        <w:ind w:left="567" w:hanging="567"/>
      </w:pPr>
      <w:r>
        <w:t xml:space="preserve">Ad i) </w:t>
      </w:r>
      <w:r w:rsidRPr="00C71644">
        <w:t>De toevoeging ad € 186.737 aan de Essent investeringsagenda betreft de dotatie die in 2020 moet plaatsvinden omdat aan inkomsten energietransitie meer is ontvangen dan geraamd.</w:t>
      </w:r>
    </w:p>
    <w:p w:rsidR="002A0F01" w:rsidRDefault="002A0F01" w:rsidP="002A0F01">
      <w:pPr>
        <w:ind w:left="567" w:hanging="567"/>
      </w:pPr>
    </w:p>
    <w:p w:rsidR="002A0F01" w:rsidRDefault="002A0F01" w:rsidP="002A0F01">
      <w:pPr>
        <w:ind w:left="567" w:hanging="567"/>
      </w:pPr>
      <w:r>
        <w:t xml:space="preserve">Ad j) </w:t>
      </w:r>
      <w:r w:rsidRPr="006422DE">
        <w:t xml:space="preserve">In verband met in 2019 tot een bedrag van € 333.275 aan ontvangen rente op leningen die op de lening is bijgeschreven dient nog een afdekking in de risicoreserve plaats te vinden tot dat zelfde bedrag tlv het </w:t>
      </w:r>
      <w:r>
        <w:t xml:space="preserve">rekeningresultaat 2019. </w:t>
      </w:r>
    </w:p>
    <w:p w:rsidR="00700D8E" w:rsidRDefault="00700D8E" w:rsidP="002A0F01">
      <w:pPr>
        <w:ind w:left="567" w:hanging="567"/>
      </w:pPr>
    </w:p>
    <w:p w:rsidR="00700D8E" w:rsidRPr="002A0F01" w:rsidRDefault="002A0F01" w:rsidP="00C32F60">
      <w:pPr>
        <w:rPr>
          <w:i/>
        </w:rPr>
      </w:pPr>
      <w:r w:rsidRPr="002A0F01">
        <w:rPr>
          <w:i/>
        </w:rPr>
        <w:t>Toelichting onttrekkingen</w:t>
      </w:r>
    </w:p>
    <w:p w:rsidR="00A11AA5" w:rsidRDefault="00A11AA5" w:rsidP="002A0F01">
      <w:pPr>
        <w:ind w:left="567" w:hanging="567"/>
      </w:pPr>
      <w:r>
        <w:t xml:space="preserve">Ad k) </w:t>
      </w:r>
      <w:r w:rsidRPr="008E1716">
        <w:t>De onttrekking op de egalisatiereserve vergunningverlening, toezicht en handhaving was in 2019 hoger dan geraamd, waarmee deze verrekening ten laste komt van het rekeningresultaat 2019. Via een bijstelling van de raming van de onttrekking aan de reserve wordt de begroting 2020 hiervoor gecorrigeerd.</w:t>
      </w:r>
    </w:p>
    <w:p w:rsidR="00A11AA5" w:rsidRDefault="00A11AA5" w:rsidP="002A0F01">
      <w:pPr>
        <w:ind w:left="567" w:hanging="567"/>
      </w:pPr>
    </w:p>
    <w:p w:rsidR="00A11AA5" w:rsidRDefault="00A11AA5" w:rsidP="002A0F01">
      <w:pPr>
        <w:ind w:left="567" w:hanging="567"/>
      </w:pPr>
      <w:r>
        <w:t xml:space="preserve">Ad l) </w:t>
      </w:r>
      <w:r w:rsidRPr="00E36C6A">
        <w:t>Het beroep op de risicoreserve grondportefeuille de Kempen was in 2019 hoger dan geraamd, waarmee de verrekening boven de geraamde onttrekking ten laste komt van het rekeningresultaat 2019. Via een bijstelling van de raming van de onttrekking aan de reserve  wordt de begroting 2020 hiervoor gecorrigeerd.</w:t>
      </w:r>
    </w:p>
    <w:p w:rsidR="00A11AA5" w:rsidRDefault="00A11AA5" w:rsidP="002A0F01">
      <w:pPr>
        <w:ind w:left="567" w:hanging="567"/>
      </w:pPr>
    </w:p>
    <w:p w:rsidR="00A11AA5" w:rsidRDefault="00A11AA5" w:rsidP="002A0F01">
      <w:pPr>
        <w:ind w:left="567" w:hanging="567"/>
      </w:pPr>
      <w:r>
        <w:t xml:space="preserve">Ad m) </w:t>
      </w:r>
      <w:r w:rsidRPr="00E36C6A">
        <w:t>Het beroep op de reserve ontwikkelbedrijf was in 2019 hoger dan geraamd, waarmee de verrekening boven de geraamde onttrekking ten laste komt van het rekeningresultaat 2019. Via een bijstelling van de raming van de onttrekking aan de reserve  wordt de begroting 2020 hiervoor gecorrigeerd.</w:t>
      </w:r>
    </w:p>
    <w:p w:rsidR="00A11AA5" w:rsidRDefault="00A11AA5" w:rsidP="002A0F01">
      <w:pPr>
        <w:ind w:left="567" w:hanging="567"/>
      </w:pPr>
    </w:p>
    <w:p w:rsidR="00A11AA5" w:rsidRDefault="00A11AA5" w:rsidP="002A0F01">
      <w:pPr>
        <w:ind w:left="567" w:hanging="567"/>
      </w:pPr>
      <w:r>
        <w:t>Ad n)</w:t>
      </w:r>
      <w:r w:rsidRPr="00C71644">
        <w:t xml:space="preserve"> De benodigde dekking uit de reserve essent immunisatieportefeuille viel in 2019 hoger uit dan de raming. Het verschil ad € 61.989 wordt in 2020 alsnog aan de reserve onttrokken. </w:t>
      </w:r>
    </w:p>
    <w:p w:rsidR="00A11AA5" w:rsidRDefault="00A11AA5" w:rsidP="002A0F01">
      <w:pPr>
        <w:ind w:left="567" w:hanging="567"/>
      </w:pPr>
    </w:p>
    <w:p w:rsidR="00A11AA5" w:rsidRDefault="00A11AA5" w:rsidP="002A0F01">
      <w:pPr>
        <w:ind w:left="567" w:hanging="567"/>
      </w:pPr>
      <w:r>
        <w:t xml:space="preserve">Ad o) </w:t>
      </w:r>
      <w:r w:rsidRPr="00C71644">
        <w:t xml:space="preserve">De benodigde dekking uit het egalisatiedeel van de dividend en rente reserve ad  € 884.190 kwam in 2019 hoger uit dan geraamd. Het verschil wordt in 2020 op de reserve gecorrigeerd. </w:t>
      </w:r>
    </w:p>
    <w:p w:rsidR="00A11AA5" w:rsidRDefault="00A11AA5" w:rsidP="002A0F01">
      <w:pPr>
        <w:ind w:left="567" w:hanging="567"/>
      </w:pPr>
    </w:p>
    <w:p w:rsidR="00A11AA5" w:rsidRDefault="00A11AA5" w:rsidP="002A0F01">
      <w:pPr>
        <w:ind w:left="567" w:hanging="567"/>
      </w:pPr>
      <w:r>
        <w:t xml:space="preserve">Ad p) </w:t>
      </w:r>
      <w:r w:rsidRPr="00E36C6A">
        <w:t>Betreft correctie eerdere jaren waardoor de reserve tot een bedrag v</w:t>
      </w:r>
      <w:r>
        <w:t>an € 75.954 vrijvalt.</w:t>
      </w:r>
      <w:r>
        <w:tab/>
      </w:r>
    </w:p>
    <w:p w:rsidR="00A11AA5" w:rsidRDefault="00A11AA5" w:rsidP="002A0F01">
      <w:pPr>
        <w:ind w:left="567" w:hanging="567"/>
      </w:pPr>
    </w:p>
    <w:p w:rsidR="00700D8E" w:rsidRPr="00C32F60" w:rsidRDefault="00700D8E" w:rsidP="00C32F60"/>
    <w:sectPr w:rsidR="00700D8E" w:rsidRPr="00C32F60"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1C" w:rsidRDefault="00A9651C" w:rsidP="006227C6">
      <w:pPr>
        <w:spacing w:line="240" w:lineRule="auto"/>
      </w:pPr>
      <w:r>
        <w:separator/>
      </w:r>
    </w:p>
  </w:endnote>
  <w:endnote w:type="continuationSeparator" w:id="0">
    <w:p w:rsidR="00A9651C" w:rsidRDefault="00A9651C"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1C" w:rsidRDefault="00A9651C" w:rsidP="006227C6">
      <w:pPr>
        <w:spacing w:line="240" w:lineRule="auto"/>
      </w:pPr>
      <w:r>
        <w:separator/>
      </w:r>
    </w:p>
  </w:footnote>
  <w:footnote w:type="continuationSeparator" w:id="0">
    <w:p w:rsidR="00A9651C" w:rsidRDefault="00A9651C"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90829"/>
    <w:multiLevelType w:val="multilevel"/>
    <w:tmpl w:val="3932B52E"/>
    <w:numStyleLink w:val="PNB123-lijst"/>
  </w:abstractNum>
  <w:abstractNum w:abstractNumId="25"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E64200"/>
    <w:multiLevelType w:val="multilevel"/>
    <w:tmpl w:val="FC04E50C"/>
    <w:numStyleLink w:val="PNBabclijst"/>
  </w:abstractNum>
  <w:abstractNum w:abstractNumId="27" w15:restartNumberingAfterBreak="0">
    <w:nsid w:val="74215C1E"/>
    <w:multiLevelType w:val="multilevel"/>
    <w:tmpl w:val="4DC4AD46"/>
    <w:numStyleLink w:val="1ai"/>
  </w:abstractNum>
  <w:abstractNum w:abstractNumId="28"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8E"/>
    <w:rsid w:val="0001453B"/>
    <w:rsid w:val="000319CA"/>
    <w:rsid w:val="000347EA"/>
    <w:rsid w:val="00047554"/>
    <w:rsid w:val="00056806"/>
    <w:rsid w:val="000930E9"/>
    <w:rsid w:val="0010054A"/>
    <w:rsid w:val="001012E0"/>
    <w:rsid w:val="00112B2A"/>
    <w:rsid w:val="00123A64"/>
    <w:rsid w:val="001971D6"/>
    <w:rsid w:val="001B515E"/>
    <w:rsid w:val="001D0ED0"/>
    <w:rsid w:val="00206621"/>
    <w:rsid w:val="002667C0"/>
    <w:rsid w:val="002719F8"/>
    <w:rsid w:val="002A0F01"/>
    <w:rsid w:val="002A5E2A"/>
    <w:rsid w:val="002D7435"/>
    <w:rsid w:val="002F5AF2"/>
    <w:rsid w:val="00325EFF"/>
    <w:rsid w:val="00346094"/>
    <w:rsid w:val="00356977"/>
    <w:rsid w:val="003611CD"/>
    <w:rsid w:val="003A4AD2"/>
    <w:rsid w:val="003E05E7"/>
    <w:rsid w:val="00403ECA"/>
    <w:rsid w:val="00430C84"/>
    <w:rsid w:val="004350F6"/>
    <w:rsid w:val="00444CC3"/>
    <w:rsid w:val="004B251B"/>
    <w:rsid w:val="004E61FF"/>
    <w:rsid w:val="00522B70"/>
    <w:rsid w:val="005531C0"/>
    <w:rsid w:val="00555744"/>
    <w:rsid w:val="00574506"/>
    <w:rsid w:val="005A1126"/>
    <w:rsid w:val="005C363E"/>
    <w:rsid w:val="005E00B9"/>
    <w:rsid w:val="006227C6"/>
    <w:rsid w:val="00625FD5"/>
    <w:rsid w:val="00642A5C"/>
    <w:rsid w:val="006A1E20"/>
    <w:rsid w:val="006B357B"/>
    <w:rsid w:val="006F31BA"/>
    <w:rsid w:val="00700D8E"/>
    <w:rsid w:val="00712E93"/>
    <w:rsid w:val="0072066C"/>
    <w:rsid w:val="00730C60"/>
    <w:rsid w:val="007410F6"/>
    <w:rsid w:val="0077204D"/>
    <w:rsid w:val="007D2929"/>
    <w:rsid w:val="007E3230"/>
    <w:rsid w:val="00806810"/>
    <w:rsid w:val="00821CB3"/>
    <w:rsid w:val="0082228C"/>
    <w:rsid w:val="00831D01"/>
    <w:rsid w:val="00842E0C"/>
    <w:rsid w:val="008610E2"/>
    <w:rsid w:val="00894BC9"/>
    <w:rsid w:val="008E262D"/>
    <w:rsid w:val="00916469"/>
    <w:rsid w:val="0092464E"/>
    <w:rsid w:val="00925E96"/>
    <w:rsid w:val="009409B6"/>
    <w:rsid w:val="0094298F"/>
    <w:rsid w:val="00944003"/>
    <w:rsid w:val="009A5F3D"/>
    <w:rsid w:val="009A63D7"/>
    <w:rsid w:val="009E319D"/>
    <w:rsid w:val="00A01ABC"/>
    <w:rsid w:val="00A11AA5"/>
    <w:rsid w:val="00A73FA2"/>
    <w:rsid w:val="00A908A9"/>
    <w:rsid w:val="00A9651C"/>
    <w:rsid w:val="00B04D93"/>
    <w:rsid w:val="00B057D7"/>
    <w:rsid w:val="00B05D0E"/>
    <w:rsid w:val="00B30015"/>
    <w:rsid w:val="00B37950"/>
    <w:rsid w:val="00B5255B"/>
    <w:rsid w:val="00BB2C3B"/>
    <w:rsid w:val="00BD6A23"/>
    <w:rsid w:val="00BF63E5"/>
    <w:rsid w:val="00C21BB1"/>
    <w:rsid w:val="00C32F60"/>
    <w:rsid w:val="00CA4CA9"/>
    <w:rsid w:val="00CA5B41"/>
    <w:rsid w:val="00CD04D5"/>
    <w:rsid w:val="00D05112"/>
    <w:rsid w:val="00D21D07"/>
    <w:rsid w:val="00D36A9C"/>
    <w:rsid w:val="00D42395"/>
    <w:rsid w:val="00D81DAE"/>
    <w:rsid w:val="00D93AB0"/>
    <w:rsid w:val="00DC737C"/>
    <w:rsid w:val="00DF11EF"/>
    <w:rsid w:val="00E44A18"/>
    <w:rsid w:val="00E544B2"/>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53EEF-5E7D-4388-B7E5-DD970B5A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1694989032">
      <w:bodyDiv w:val="1"/>
      <w:marLeft w:val="0"/>
      <w:marRight w:val="0"/>
      <w:marTop w:val="0"/>
      <w:marBottom w:val="0"/>
      <w:divBdr>
        <w:top w:val="none" w:sz="0" w:space="0" w:color="auto"/>
        <w:left w:val="none" w:sz="0" w:space="0" w:color="auto"/>
        <w:bottom w:val="none" w:sz="0" w:space="0" w:color="auto"/>
        <w:right w:val="none" w:sz="0" w:space="0" w:color="auto"/>
      </w:divBdr>
    </w:div>
    <w:div w:id="19048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6B1F-4307-4A76-915E-CC374902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4387</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Eppenhof</dc:creator>
  <cp:keywords/>
  <dc:description/>
  <cp:lastModifiedBy>Johan Eppenhof</cp:lastModifiedBy>
  <cp:revision>2</cp:revision>
  <dcterms:created xsi:type="dcterms:W3CDTF">2020-05-25T07:58:00Z</dcterms:created>
  <dcterms:modified xsi:type="dcterms:W3CDTF">2020-05-25T07:58:00Z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ceb01082-14c7-959f-6614-bd7d30e05a0d</vt:lpwstr>
  </property>
  <property fmtid="{D5CDD505-2E9C-101B-9397-08002B2CF9AE}" pid="3" name="CORSA_OBJECTTYPE">
    <vt:lpwstr>S</vt:lpwstr>
  </property>
  <property fmtid="{D5CDD505-2E9C-101B-9397-08002B2CF9AE}" pid="4" name="CORSA_OBJECTID">
    <vt:lpwstr>4676690</vt:lpwstr>
  </property>
  <property fmtid="{D5CDD505-2E9C-101B-9397-08002B2CF9AE}" pid="5" name="CORSA_VERSION">
    <vt:lpwstr>3</vt:lpwstr>
  </property>
</Properties>
</file>