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744" w:rsidRDefault="00314F71" w:rsidP="00C32F60">
      <w:bookmarkStart w:id="0" w:name="_GoBack"/>
      <w:bookmarkEnd w:id="0"/>
      <w:r>
        <w:t>PS 23/20 Toelichting voorgestelde overhevelingen</w:t>
      </w:r>
    </w:p>
    <w:p w:rsidR="00251FCD" w:rsidRDefault="00251FCD" w:rsidP="00C32F60"/>
    <w:tbl>
      <w:tblPr>
        <w:tblW w:w="8080" w:type="dxa"/>
        <w:tblCellMar>
          <w:left w:w="70" w:type="dxa"/>
          <w:right w:w="70" w:type="dxa"/>
        </w:tblCellMar>
        <w:tblLook w:val="04A0" w:firstRow="1" w:lastRow="0" w:firstColumn="1" w:lastColumn="0" w:noHBand="0" w:noVBand="1"/>
      </w:tblPr>
      <w:tblGrid>
        <w:gridCol w:w="316"/>
        <w:gridCol w:w="6624"/>
        <w:gridCol w:w="1140"/>
      </w:tblGrid>
      <w:tr w:rsidR="00251FCD" w:rsidRPr="00251FCD" w:rsidTr="00484365">
        <w:trPr>
          <w:trHeight w:val="285"/>
          <w:tblHeader/>
        </w:trPr>
        <w:tc>
          <w:tcPr>
            <w:tcW w:w="316" w:type="dxa"/>
            <w:tcBorders>
              <w:top w:val="single" w:sz="4" w:space="0" w:color="auto"/>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single" w:sz="4" w:space="0" w:color="auto"/>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single" w:sz="4" w:space="0" w:color="auto"/>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bijlage 3</w:t>
            </w:r>
          </w:p>
        </w:tc>
      </w:tr>
      <w:tr w:rsidR="00251FCD" w:rsidRPr="00251FCD" w:rsidTr="00484365">
        <w:trPr>
          <w:trHeight w:val="300"/>
          <w:tblHeader/>
        </w:trPr>
        <w:tc>
          <w:tcPr>
            <w:tcW w:w="6940" w:type="dxa"/>
            <w:gridSpan w:val="2"/>
            <w:tcBorders>
              <w:top w:val="nil"/>
              <w:left w:val="nil"/>
              <w:bottom w:val="single" w:sz="8" w:space="0" w:color="auto"/>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xml:space="preserve">Voorgestelde overheveling </w:t>
            </w:r>
          </w:p>
        </w:tc>
        <w:tc>
          <w:tcPr>
            <w:tcW w:w="1140" w:type="dxa"/>
            <w:tcBorders>
              <w:top w:val="nil"/>
              <w:left w:val="nil"/>
              <w:bottom w:val="single" w:sz="8" w:space="0" w:color="auto"/>
              <w:right w:val="nil"/>
            </w:tcBorders>
            <w:shd w:val="clear" w:color="000000" w:fill="FFFFFF"/>
            <w:hideMark/>
          </w:tcPr>
          <w:p w:rsidR="00251FCD" w:rsidRPr="00251FCD" w:rsidRDefault="00251FCD" w:rsidP="00251FCD">
            <w:pPr>
              <w:spacing w:line="240" w:lineRule="auto"/>
              <w:jc w:val="center"/>
              <w:rPr>
                <w:color w:val="000000"/>
                <w:sz w:val="18"/>
                <w:szCs w:val="18"/>
              </w:rPr>
            </w:pPr>
            <w:r w:rsidRPr="00251FCD">
              <w:rPr>
                <w:color w:val="000000"/>
                <w:sz w:val="18"/>
                <w:szCs w:val="18"/>
              </w:rPr>
              <w:t>€</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1</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Bestuur en veiligheid</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Brabantstad</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89.478</w:t>
            </w:r>
          </w:p>
        </w:tc>
      </w:tr>
      <w:tr w:rsidR="00251FCD" w:rsidRPr="00251FCD" w:rsidTr="00484365">
        <w:trPr>
          <w:trHeight w:val="85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De administratie voor het samenwerkingsverband Brabantstad wordt gevoerd door Provincie Noord-Brabant. De middelen worden door de partners ingelegd en zijn bestemd voor dit samenwerkingsverband.</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57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Voorgesteld wordt om de resterende middelen ad € 89.478 over te hevelen naar 2020.</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Veiligheid</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235.398</w:t>
            </w:r>
          </w:p>
        </w:tc>
      </w:tr>
      <w:tr w:rsidR="00251FCD" w:rsidRPr="00251FCD" w:rsidTr="00484365">
        <w:trPr>
          <w:trHeight w:val="142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Bij het Bestuursakkoord 2019-2023 Kiezen voor Kwaliteit is € 1 miljoen beschikbaar gesteld voor het uitwerken en opstarten van beleid voor veiligheid (veilig en weerbaar Brabant) in 2019 en 2020. De resterende middelen uit 2019 worden betrokken bij de uitvoering in 2020 op basis van de uitwerking bestuursopdracht 'Veilig en weerbaar Brabant'.</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Vlaams Nederlandse Delta</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127.390</w:t>
            </w:r>
          </w:p>
        </w:tc>
      </w:tr>
      <w:tr w:rsidR="00251FCD" w:rsidRPr="00251FCD" w:rsidTr="00484365">
        <w:trPr>
          <w:trHeight w:val="85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De administratie voor het samenwerkingsverband Vlaams Nederlandse Delta wordt gevoerd door Provincie Noord-Brabant. De middelen worden door de zes partners ingelegd en zijn bestemd voor dit samenwerkingsverband.</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57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Voorgesteld wordt om de resterende middelen ad € 127.390 over te hevelen naar 2020.</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2</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Ruimte en wonen</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Amendement lokale journalistiek</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75.000</w:t>
            </w:r>
          </w:p>
        </w:tc>
      </w:tr>
      <w:tr w:rsidR="00251FCD" w:rsidRPr="00251FCD" w:rsidTr="00484365">
        <w:trPr>
          <w:trHeight w:val="57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Betreft de overheveling van restant middelen van het amendement Lokale journalistiek (€ 150.000, begroting 2019)</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Herinzet middelen project Veghelse Mozaïek</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1.371.549</w:t>
            </w:r>
          </w:p>
        </w:tc>
      </w:tr>
      <w:tr w:rsidR="00251FCD" w:rsidRPr="00251FCD" w:rsidTr="00484365">
        <w:trPr>
          <w:trHeight w:val="171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Voor de verbetering van de ruimtelijke kwaliteit Brainport Oost is eerder, met de inzet van bestuursakkoordmiddelen, een subsidieregeling opengesteld geweest. Een deel van de beschikbaar gestelde middelen voor project Veghelse Mozaïek waren eerder voorzien via subsidie te worden ingezet. Dit bleek niet volledig realiseerbaar. De inzet zal alsnog plaatsvinden in hetzelfde gebied en in samenhang met infraproject N279Z.</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E3E1B" w:rsidRDefault="00251FCD" w:rsidP="00251FCD">
            <w:pPr>
              <w:spacing w:line="240" w:lineRule="auto"/>
              <w:rPr>
                <w:color w:val="000000"/>
                <w:sz w:val="18"/>
                <w:szCs w:val="18"/>
              </w:rPr>
            </w:pPr>
            <w:r w:rsidRPr="002E3E1B">
              <w:rPr>
                <w:color w:val="000000"/>
                <w:sz w:val="18"/>
                <w:szCs w:val="18"/>
              </w:rPr>
              <w:t>Overheveling middelen Ruimtelijke ontwikkeling</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1.414.548</w:t>
            </w:r>
          </w:p>
        </w:tc>
      </w:tr>
      <w:tr w:rsidR="00251FCD" w:rsidRPr="00251FCD" w:rsidTr="00484365">
        <w:trPr>
          <w:trHeight w:val="85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E3E1B" w:rsidRDefault="00A17D8D" w:rsidP="00251FCD">
            <w:pPr>
              <w:spacing w:line="240" w:lineRule="auto"/>
              <w:rPr>
                <w:color w:val="000000"/>
                <w:sz w:val="18"/>
                <w:szCs w:val="18"/>
              </w:rPr>
            </w:pPr>
            <w:r w:rsidRPr="002E3E1B">
              <w:rPr>
                <w:color w:val="000000"/>
                <w:sz w:val="18"/>
                <w:szCs w:val="18"/>
              </w:rPr>
              <w:t>Betreft overheveling van restant bestuursakkoordmiddelen Ruimtelijke ontwikkeling Brainport Oost (€ 1 mln) en Wonen en Leegstand (€ 0,4 mln) t.b.v. inzet voor uitvoering bestuursopdracht Terugdringen Woningtekort en leegstand (PS 18/20).</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E3E1B" w:rsidRDefault="00251FCD" w:rsidP="00251FCD">
            <w:pPr>
              <w:spacing w:line="240" w:lineRule="auto"/>
              <w:rPr>
                <w:color w:val="000000"/>
                <w:sz w:val="18"/>
                <w:szCs w:val="18"/>
              </w:rPr>
            </w:pPr>
            <w:r w:rsidRPr="002E3E1B">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Inzet Rijksbijdrage Flexwonen</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250.000</w:t>
            </w:r>
          </w:p>
        </w:tc>
      </w:tr>
      <w:tr w:rsidR="00251FCD" w:rsidRPr="00251FCD" w:rsidTr="00484365">
        <w:trPr>
          <w:trHeight w:val="57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Betreft de inzet van de in 2019 ontvangen Rijksbijdrage voor Flexwonen, die behouden moet blijven voor de uitvoering van activiteiten in 2020 en 2021</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lastRenderedPageBreak/>
              <w:t>3</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Water en Bodem</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30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Overheveling inzake overeenkomst Waterpoort</w:t>
            </w:r>
          </w:p>
        </w:tc>
        <w:tc>
          <w:tcPr>
            <w:tcW w:w="1140" w:type="dxa"/>
            <w:tcBorders>
              <w:top w:val="nil"/>
              <w:left w:val="nil"/>
              <w:bottom w:val="nil"/>
              <w:right w:val="nil"/>
            </w:tcBorders>
            <w:shd w:val="clear" w:color="000000" w:fill="FFFFFF"/>
            <w:noWrap/>
            <w:hideMark/>
          </w:tcPr>
          <w:p w:rsidR="00251FCD" w:rsidRPr="00251FCD" w:rsidRDefault="00251FCD" w:rsidP="00251FCD">
            <w:pPr>
              <w:spacing w:line="240" w:lineRule="auto"/>
              <w:jc w:val="right"/>
              <w:rPr>
                <w:color w:val="000000"/>
                <w:szCs w:val="20"/>
              </w:rPr>
            </w:pPr>
            <w:r w:rsidRPr="00251FCD">
              <w:rPr>
                <w:color w:val="000000"/>
                <w:szCs w:val="20"/>
              </w:rPr>
              <w:t>41.382</w:t>
            </w:r>
          </w:p>
        </w:tc>
      </w:tr>
      <w:tr w:rsidR="00251FCD" w:rsidRPr="00251FCD" w:rsidTr="00484365">
        <w:trPr>
          <w:trHeight w:val="85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Met betrekking tot de Samenwerkingsovereenkomst Waterpoort wordt jaarlijks het saldo van de bijdragen van de partners en werkelijke uitgaven overgeheveld naar het volgende jaar.</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Overheveling 2e bestuursovereenkomst waterschappen</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4.783.093</w:t>
            </w:r>
          </w:p>
        </w:tc>
      </w:tr>
      <w:tr w:rsidR="00251FCD" w:rsidRPr="00251FCD" w:rsidTr="00484365">
        <w:trPr>
          <w:trHeight w:val="313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Om de doelen vanuit het Kaderrichtlijn Water te behalen hebben wij aan de waterschappen subsidies verleend ten behoeve van met name het herstel van Natte Natuurparels en beekherstel. Deze subsidies dragen bij aan de doelstellingen van STUW 2016-2021. In 2019 hebben wij de hieraan gerelateerde subsidies moeten vaststellen. De prestaties uit de subsidiebeschikkingen aan waterschap Brabantse Delta en waterschap De Dommel zijn nog niet allemaal geleverd, maar deze prestaties zijn wel nodig om de doelen vanuit de Kaderrichtlijn Water te realiseren. Om de niet-geleverde prestaties alsnog te realiseren is het nodig om het voordelig afwikkelingsverschil als gevolg van de subsidievaststelling beschikbaar te houden voor de uitvoering van deze projecten.</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Vitale bodem</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176.736</w:t>
            </w:r>
          </w:p>
        </w:tc>
      </w:tr>
      <w:tr w:rsidR="00251FCD" w:rsidRPr="00251FCD" w:rsidTr="00484365">
        <w:trPr>
          <w:trHeight w:val="114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In 2019 is de subsidieparagraaf Vitale Bodem van de subsidieregeling ‘Elfde wijzigingsregeling Subsidieregeling provinciaal milieu- en waterplan Noord-Brabant’ opengesteld. Deze loopt nog tot en met 2 juni 2020. In verband daarmee worden de restant middelen van 2019 overgeheveld naar 2020.</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4</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Natuur en milieu</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Subsidieregeling natuur N279</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516.780</w:t>
            </w:r>
          </w:p>
        </w:tc>
      </w:tr>
      <w:tr w:rsidR="00251FCD" w:rsidRPr="00251FCD" w:rsidTr="00484365">
        <w:trPr>
          <w:trHeight w:val="171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Eind 2019  zijn er nog 3 aanvragen in behandeling voor de realisatie natuur  subsidieregeling N279  die niet meer beschikt zijn in 2019.  Hierdoor is een deel van het budget € 451.844 van 2019 niet benut. Daarnaast betreft het een afwikkeling van een opdracht € 64.936 voor waardedaling van percelen in verband met wettelijke natuurcompensatie. Voorstel is om € 516.780 over te hevelen naar 2020.</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57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Restant rijksmiddelen drugsdumpingen uit 2019 dienen behouden te blijven op de begroting 2020</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296.988</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Gevelsanering geluid</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144.254</w:t>
            </w:r>
          </w:p>
        </w:tc>
      </w:tr>
      <w:tr w:rsidR="00251FCD" w:rsidRPr="00251FCD" w:rsidTr="00484365">
        <w:trPr>
          <w:trHeight w:val="17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Deze middelen, beschikbaar gesteld door Infra, zijn bedoeld om geluidmaatrgelen te treffen aan woningen langs provinciale wegen. Op het moment dat de weg wordt gereconstrueerd of groot onderhoud gepleegd, worden deze zgn. saneringswoningen gelijktijdig aangepakt. De geplande projecten in 2019 zijn doorgeschoven naar 2020/2021. De Middelen dienen daarom ook te worden doorgeschoven.</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Advieskosten Milieu Effect Rapportage</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99.411</w:t>
            </w:r>
          </w:p>
        </w:tc>
      </w:tr>
      <w:tr w:rsidR="00251FCD" w:rsidRPr="00251FCD" w:rsidTr="00484365">
        <w:trPr>
          <w:trHeight w:val="199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lastRenderedPageBreak/>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Jaarlijks wordt er een planning gemaakt van provinciale projecten waarvoor een Mer moet worden opgesteld en advies moet worden gevraagd aan de Mer-commissie. De kosten voor deze adviezen varieren van ca. 10.000 tot ca. 25.000 euro/advies. Procedures voor deze projecten zijn vaak lang waardoor het gewenste advies niet in het geplande jaar kan worden aangevaragd maar doorschuift. Voor deze adviezen moet het restant worden overgeheveld naar 2020.</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Voorbereidingsbudget gezondheid</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100.000</w:t>
            </w:r>
          </w:p>
        </w:tc>
      </w:tr>
      <w:tr w:rsidR="00251FCD" w:rsidRPr="00251FCD" w:rsidTr="00484365">
        <w:trPr>
          <w:trHeight w:val="117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Bij burap 2019 is door PS besloten om een voorbereidingsbudget voor Gezondheid ad € 0,5 mln. ( 2019: € 0,1 mln. 2020: € 0,4 mln.) ter beschikking te stellen. De middelen voor 2019 zijnde € 0,1 mln. zijn nog niet tot besteding gekomen en worden daarom voor hetzelfde doel overgeheveld naar 2020,</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5</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Economie</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Overheveling vastgoed van Gogh</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1.250.000</w:t>
            </w:r>
          </w:p>
        </w:tc>
      </w:tr>
      <w:tr w:rsidR="00251FCD" w:rsidRPr="00251FCD" w:rsidTr="00484365">
        <w:trPr>
          <w:trHeight w:val="85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Overheveling  1.250.000 van 2019 naar 2020 m.b.t.  aankopen certificaten Vastgoed Van Gogh € 1,25 mln. De 2e tranche aankopen certificaten zullen in 2020 gerealiseerd worden.</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6</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Energie, circulaire samenleving en gezondheid</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Overheveling BA middelen circulaire economie</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176.710</w:t>
            </w:r>
          </w:p>
        </w:tc>
      </w:tr>
      <w:tr w:rsidR="00251FCD" w:rsidRPr="00251FCD" w:rsidTr="00484365">
        <w:trPr>
          <w:trHeight w:val="171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xml:space="preserve">Zoals middels Statenvoorstel 54/19A door PS is besloten, blijven de eind 2019 nog niet gerealiseerde of verplichte bestuursakkoordmiddelen uit de vorige bestuursperiode ingezet kunnen worden voor het realiseren van de ambities op het betreffende beleidsterrein. Daarom wordt voorgesteld om restant middelen mbt BA-middelen 2016-2019 circulaire econ. door te schuiven naar 2020.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E3E1B" w:rsidRDefault="00251FCD" w:rsidP="00251FCD">
            <w:pPr>
              <w:spacing w:line="240" w:lineRule="auto"/>
              <w:rPr>
                <w:color w:val="000000"/>
                <w:sz w:val="18"/>
                <w:szCs w:val="18"/>
              </w:rPr>
            </w:pPr>
            <w:r w:rsidRPr="002E3E1B">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7</w:t>
            </w:r>
          </w:p>
        </w:tc>
        <w:tc>
          <w:tcPr>
            <w:tcW w:w="6624" w:type="dxa"/>
            <w:tcBorders>
              <w:top w:val="nil"/>
              <w:left w:val="nil"/>
              <w:bottom w:val="nil"/>
              <w:right w:val="nil"/>
            </w:tcBorders>
            <w:shd w:val="clear" w:color="000000" w:fill="FFFFFF"/>
            <w:hideMark/>
          </w:tcPr>
          <w:p w:rsidR="00251FCD" w:rsidRPr="002E3E1B" w:rsidRDefault="00251FCD" w:rsidP="00251FCD">
            <w:pPr>
              <w:spacing w:line="240" w:lineRule="auto"/>
              <w:rPr>
                <w:color w:val="000000"/>
                <w:sz w:val="18"/>
                <w:szCs w:val="18"/>
              </w:rPr>
            </w:pPr>
            <w:r w:rsidRPr="002E3E1B">
              <w:rPr>
                <w:color w:val="000000"/>
                <w:sz w:val="18"/>
                <w:szCs w:val="18"/>
              </w:rPr>
              <w:t>Landbouw en voedsel</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E3E1B" w:rsidRDefault="00251FCD" w:rsidP="00251FCD">
            <w:pPr>
              <w:spacing w:line="240" w:lineRule="auto"/>
              <w:rPr>
                <w:color w:val="000000"/>
                <w:sz w:val="18"/>
                <w:szCs w:val="18"/>
              </w:rPr>
            </w:pPr>
            <w:r w:rsidRPr="002E3E1B">
              <w:rPr>
                <w:color w:val="000000"/>
                <w:sz w:val="18"/>
                <w:szCs w:val="18"/>
              </w:rPr>
              <w:t>Overheveling middelen landbouw en voedsel</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6.312.063</w:t>
            </w:r>
          </w:p>
        </w:tc>
      </w:tr>
      <w:tr w:rsidR="00251FCD" w:rsidRPr="00251FCD" w:rsidTr="00484365">
        <w:trPr>
          <w:trHeight w:val="57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E3E1B" w:rsidRDefault="00251FCD" w:rsidP="00C20CD0">
            <w:pPr>
              <w:spacing w:line="240" w:lineRule="auto"/>
              <w:rPr>
                <w:color w:val="000000"/>
                <w:sz w:val="18"/>
                <w:szCs w:val="18"/>
              </w:rPr>
            </w:pPr>
            <w:r w:rsidRPr="002E3E1B">
              <w:rPr>
                <w:color w:val="000000"/>
                <w:sz w:val="18"/>
                <w:szCs w:val="18"/>
              </w:rPr>
              <w:t>Betreft inzet van restant budget 2019 Landbouw en voedsel</w:t>
            </w:r>
            <w:r w:rsidR="00C20CD0" w:rsidRPr="002E3E1B">
              <w:rPr>
                <w:color w:val="000000"/>
                <w:sz w:val="18"/>
                <w:szCs w:val="18"/>
              </w:rPr>
              <w:t xml:space="preserve"> t.b.v inzet op dit programma</w:t>
            </w:r>
            <w:r w:rsidRPr="002E3E1B">
              <w:rPr>
                <w:color w:val="000000"/>
                <w:sz w:val="18"/>
                <w:szCs w:val="18"/>
              </w:rPr>
              <w:t>:</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57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E3E1B" w:rsidRDefault="00251FCD" w:rsidP="00236619">
            <w:pPr>
              <w:spacing w:line="240" w:lineRule="auto"/>
              <w:rPr>
                <w:color w:val="000000"/>
                <w:sz w:val="18"/>
                <w:szCs w:val="18"/>
              </w:rPr>
            </w:pPr>
            <w:r w:rsidRPr="002E3E1B">
              <w:rPr>
                <w:color w:val="000000"/>
                <w:sz w:val="18"/>
                <w:szCs w:val="18"/>
              </w:rPr>
              <w:t>- € 1,</w:t>
            </w:r>
            <w:r w:rsidR="00C20CD0" w:rsidRPr="002E3E1B">
              <w:rPr>
                <w:color w:val="000000"/>
                <w:sz w:val="18"/>
                <w:szCs w:val="18"/>
              </w:rPr>
              <w:t>6</w:t>
            </w:r>
            <w:r w:rsidRPr="002E3E1B">
              <w:rPr>
                <w:color w:val="000000"/>
                <w:sz w:val="18"/>
                <w:szCs w:val="18"/>
              </w:rPr>
              <w:t xml:space="preserve"> mln </w:t>
            </w:r>
            <w:r w:rsidR="00C20CD0" w:rsidRPr="002E3E1B">
              <w:rPr>
                <w:color w:val="000000"/>
                <w:sz w:val="18"/>
                <w:szCs w:val="18"/>
              </w:rPr>
              <w:t>betreft diverse uitgaven die zijn doorgeschoven (of vertraagd) van 2019 naar 2020 (zoals vermeld in de jaarstukken bij productgroep 02.02</w:t>
            </w:r>
            <w:r w:rsidRPr="002E3E1B">
              <w:rPr>
                <w:color w:val="000000"/>
                <w:sz w:val="18"/>
                <w:szCs w:val="18"/>
              </w:rPr>
              <w:t>)</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E3E1B" w:rsidRDefault="00251FCD" w:rsidP="00251FCD">
            <w:pPr>
              <w:spacing w:line="240" w:lineRule="auto"/>
              <w:rPr>
                <w:color w:val="000000"/>
                <w:sz w:val="18"/>
                <w:szCs w:val="18"/>
              </w:rPr>
            </w:pPr>
            <w:r w:rsidRPr="002E3E1B">
              <w:rPr>
                <w:color w:val="000000"/>
                <w:sz w:val="18"/>
                <w:szCs w:val="18"/>
              </w:rPr>
              <w:t>- 4,7 mln herinzet restant middelen t.b.v. Ondersteunende maatregelen</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E3E1B" w:rsidRDefault="00251FCD" w:rsidP="00251FCD">
            <w:pPr>
              <w:spacing w:line="240" w:lineRule="auto"/>
              <w:rPr>
                <w:color w:val="000000"/>
                <w:sz w:val="18"/>
                <w:szCs w:val="18"/>
              </w:rPr>
            </w:pPr>
            <w:r w:rsidRPr="002E3E1B">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8</w:t>
            </w:r>
          </w:p>
        </w:tc>
        <w:tc>
          <w:tcPr>
            <w:tcW w:w="6624" w:type="dxa"/>
            <w:tcBorders>
              <w:top w:val="nil"/>
              <w:left w:val="nil"/>
              <w:bottom w:val="nil"/>
              <w:right w:val="nil"/>
            </w:tcBorders>
            <w:shd w:val="clear" w:color="000000" w:fill="FFFFFF"/>
            <w:hideMark/>
          </w:tcPr>
          <w:p w:rsidR="00251FCD" w:rsidRPr="002E3E1B" w:rsidRDefault="00251FCD" w:rsidP="00251FCD">
            <w:pPr>
              <w:spacing w:line="240" w:lineRule="auto"/>
              <w:rPr>
                <w:color w:val="000000"/>
                <w:sz w:val="18"/>
                <w:szCs w:val="18"/>
              </w:rPr>
            </w:pPr>
            <w:r w:rsidRPr="002E3E1B">
              <w:rPr>
                <w:color w:val="000000"/>
                <w:sz w:val="18"/>
                <w:szCs w:val="18"/>
              </w:rPr>
              <w:t>Basisinfrastructuur mobiliteit</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Wegenoverdrachten</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1.397.801</w:t>
            </w:r>
          </w:p>
        </w:tc>
      </w:tr>
      <w:tr w:rsidR="00251FCD" w:rsidRPr="00251FCD" w:rsidTr="00484365">
        <w:trPr>
          <w:trHeight w:val="171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In verband met een geplande wegenoverdracht aan gemeenten worden investeringskredieten afgeraamd en op de begroting opgenomen als exploitatie. Het betreft een wegvak in het kader van de N260 Omlegging Baarle en I-VRI's aan de gemeente Loon op Zand. Daarnaast heeft een geplande wegenoverdracht aan Breda (€ 1,1 mln) niet plaatsgevonden. De gereserveerde middelen dienen beschikbaar te blijven op de begroting.</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lastRenderedPageBreak/>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Algemeen financieel beleid</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Effecten decembercirculaire 2019 mbt MIT 2018 + 2019</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580.000</w:t>
            </w:r>
          </w:p>
        </w:tc>
      </w:tr>
      <w:tr w:rsidR="00251FCD" w:rsidRPr="00251FCD" w:rsidTr="00484365">
        <w:trPr>
          <w:trHeight w:val="114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Voor MIT 2019 is er via het provinciefonds €1,8 mln. ontvangen, terwijl € 1,22 mln. geraamd was. De €580.000 die in het rekeningresultaat landt, zal op de inkomsten 2020 en 2021 worden gecorrigeerd. In die jaren was er € 915.000 geraamd. Dus resteert er een raming van € 625.000 per jaar.</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285"/>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r w:rsidR="00251FCD" w:rsidRPr="00251FCD" w:rsidTr="00484365">
        <w:trPr>
          <w:trHeight w:val="30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single" w:sz="4" w:space="0" w:color="auto"/>
              <w:left w:val="nil"/>
              <w:bottom w:val="double" w:sz="6" w:space="0" w:color="auto"/>
              <w:right w:val="nil"/>
            </w:tcBorders>
            <w:shd w:val="clear" w:color="000000" w:fill="FFFFFF"/>
            <w:hideMark/>
          </w:tcPr>
          <w:p w:rsidR="00251FCD" w:rsidRPr="00251FCD" w:rsidRDefault="00251FCD" w:rsidP="00251FCD">
            <w:pPr>
              <w:spacing w:line="240" w:lineRule="auto"/>
              <w:jc w:val="right"/>
              <w:rPr>
                <w:color w:val="000000"/>
                <w:sz w:val="18"/>
                <w:szCs w:val="18"/>
              </w:rPr>
            </w:pPr>
            <w:r w:rsidRPr="00251FCD">
              <w:rPr>
                <w:color w:val="000000"/>
                <w:sz w:val="18"/>
                <w:szCs w:val="18"/>
              </w:rPr>
              <w:t>19.438.581</w:t>
            </w:r>
          </w:p>
        </w:tc>
      </w:tr>
      <w:tr w:rsidR="00251FCD" w:rsidRPr="00251FCD" w:rsidTr="00484365">
        <w:trPr>
          <w:trHeight w:val="300"/>
        </w:trPr>
        <w:tc>
          <w:tcPr>
            <w:tcW w:w="316" w:type="dxa"/>
            <w:tcBorders>
              <w:top w:val="nil"/>
              <w:left w:val="nil"/>
              <w:bottom w:val="nil"/>
              <w:right w:val="nil"/>
            </w:tcBorders>
            <w:shd w:val="clear" w:color="000000" w:fill="FFFFFF"/>
            <w:noWrap/>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6624"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c>
          <w:tcPr>
            <w:tcW w:w="1140" w:type="dxa"/>
            <w:tcBorders>
              <w:top w:val="nil"/>
              <w:left w:val="nil"/>
              <w:bottom w:val="nil"/>
              <w:right w:val="nil"/>
            </w:tcBorders>
            <w:shd w:val="clear" w:color="000000" w:fill="FFFFFF"/>
            <w:hideMark/>
          </w:tcPr>
          <w:p w:rsidR="00251FCD" w:rsidRPr="00251FCD" w:rsidRDefault="00251FCD" w:rsidP="00251FCD">
            <w:pPr>
              <w:spacing w:line="240" w:lineRule="auto"/>
              <w:rPr>
                <w:color w:val="000000"/>
                <w:sz w:val="18"/>
                <w:szCs w:val="18"/>
              </w:rPr>
            </w:pPr>
            <w:r w:rsidRPr="00251FCD">
              <w:rPr>
                <w:color w:val="000000"/>
                <w:sz w:val="18"/>
                <w:szCs w:val="18"/>
              </w:rPr>
              <w:t> </w:t>
            </w:r>
          </w:p>
        </w:tc>
      </w:tr>
    </w:tbl>
    <w:p w:rsidR="00251FCD" w:rsidRDefault="00251FCD" w:rsidP="00C32F60"/>
    <w:p w:rsidR="00314F71" w:rsidRPr="00C32F60" w:rsidRDefault="00314F71" w:rsidP="00C32F60"/>
    <w:sectPr w:rsidR="00314F71" w:rsidRPr="00C32F60" w:rsidSect="009409B6">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9E0" w:rsidRDefault="003469E0" w:rsidP="006227C6">
      <w:pPr>
        <w:spacing w:line="240" w:lineRule="auto"/>
      </w:pPr>
      <w:r>
        <w:separator/>
      </w:r>
    </w:p>
  </w:endnote>
  <w:endnote w:type="continuationSeparator" w:id="0">
    <w:p w:rsidR="003469E0" w:rsidRDefault="003469E0" w:rsidP="0062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AFF" w:usb1="C0007843" w:usb2="00000009" w:usb3="00000000" w:csb0="000001FF" w:csb1="00000000"/>
  </w:font>
  <w:font w:name="Baskerville MT">
    <w:panose1 w:val="02020502070401020303"/>
    <w:charset w:val="00"/>
    <w:family w:val="roman"/>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9E0" w:rsidRDefault="003469E0" w:rsidP="006227C6">
      <w:pPr>
        <w:spacing w:line="240" w:lineRule="auto"/>
      </w:pPr>
      <w:r>
        <w:separator/>
      </w:r>
    </w:p>
  </w:footnote>
  <w:footnote w:type="continuationSeparator" w:id="0">
    <w:p w:rsidR="003469E0" w:rsidRDefault="003469E0" w:rsidP="006227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2B04D7"/>
    <w:multiLevelType w:val="multilevel"/>
    <w:tmpl w:val="FC04E50C"/>
    <w:numStyleLink w:val="PNBabclijst"/>
  </w:abstractNum>
  <w:abstractNum w:abstractNumId="21"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B890829"/>
    <w:multiLevelType w:val="multilevel"/>
    <w:tmpl w:val="3932B52E"/>
    <w:numStyleLink w:val="PNB123-lijst"/>
  </w:abstractNum>
  <w:abstractNum w:abstractNumId="25"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BE64200"/>
    <w:multiLevelType w:val="multilevel"/>
    <w:tmpl w:val="FC04E50C"/>
    <w:numStyleLink w:val="PNBabclijst"/>
  </w:abstractNum>
  <w:abstractNum w:abstractNumId="27" w15:restartNumberingAfterBreak="0">
    <w:nsid w:val="74215C1E"/>
    <w:multiLevelType w:val="multilevel"/>
    <w:tmpl w:val="4DC4AD46"/>
    <w:numStyleLink w:val="1ai"/>
  </w:abstractNum>
  <w:abstractNum w:abstractNumId="28" w15:restartNumberingAfterBreak="0">
    <w:nsid w:val="762B10D6"/>
    <w:multiLevelType w:val="multilevel"/>
    <w:tmpl w:val="3932B52E"/>
    <w:numStyleLink w:val="PNB123-lij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3"/>
  </w:num>
  <w:num w:numId="13">
    <w:abstractNumId w:val="25"/>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6"/>
  </w:num>
  <w:num w:numId="23">
    <w:abstractNumId w:val="22"/>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2"/>
  </w:num>
  <w:num w:numId="25">
    <w:abstractNumId w:val="22"/>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8"/>
  </w:num>
  <w:num w:numId="28">
    <w:abstractNumId w:val="21"/>
  </w:num>
  <w:num w:numId="29">
    <w:abstractNumId w:val="11"/>
  </w:num>
  <w:num w:numId="30">
    <w:abstractNumId w:val="15"/>
  </w:num>
  <w:num w:numId="31">
    <w:abstractNumId w:val="14"/>
  </w:num>
  <w:num w:numId="32">
    <w:abstractNumId w:val="16"/>
  </w:num>
  <w:num w:numId="33">
    <w:abstractNumId w:val="24"/>
  </w:num>
  <w:num w:numId="34">
    <w:abstractNumId w:val="2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71"/>
    <w:rsid w:val="000319CA"/>
    <w:rsid w:val="000347EA"/>
    <w:rsid w:val="00047554"/>
    <w:rsid w:val="00056806"/>
    <w:rsid w:val="0007320E"/>
    <w:rsid w:val="000930E9"/>
    <w:rsid w:val="0010054A"/>
    <w:rsid w:val="001012E0"/>
    <w:rsid w:val="00112B2A"/>
    <w:rsid w:val="00123A64"/>
    <w:rsid w:val="001971D6"/>
    <w:rsid w:val="001A46DF"/>
    <w:rsid w:val="001B515E"/>
    <w:rsid w:val="001D0ED0"/>
    <w:rsid w:val="00206621"/>
    <w:rsid w:val="00236619"/>
    <w:rsid w:val="00251FCD"/>
    <w:rsid w:val="002667C0"/>
    <w:rsid w:val="002719F8"/>
    <w:rsid w:val="002A5E2A"/>
    <w:rsid w:val="002B4424"/>
    <w:rsid w:val="002D7435"/>
    <w:rsid w:val="002E3E1B"/>
    <w:rsid w:val="002F5AF2"/>
    <w:rsid w:val="00314F71"/>
    <w:rsid w:val="00325EFF"/>
    <w:rsid w:val="00346094"/>
    <w:rsid w:val="003469E0"/>
    <w:rsid w:val="003611CD"/>
    <w:rsid w:val="003A4AD2"/>
    <w:rsid w:val="003E05E7"/>
    <w:rsid w:val="00403ECA"/>
    <w:rsid w:val="00430C84"/>
    <w:rsid w:val="004350F6"/>
    <w:rsid w:val="00444CC3"/>
    <w:rsid w:val="00484365"/>
    <w:rsid w:val="004B251B"/>
    <w:rsid w:val="00522B70"/>
    <w:rsid w:val="005531C0"/>
    <w:rsid w:val="00555744"/>
    <w:rsid w:val="00574506"/>
    <w:rsid w:val="005A1126"/>
    <w:rsid w:val="005E00B9"/>
    <w:rsid w:val="006227C6"/>
    <w:rsid w:val="00625FD5"/>
    <w:rsid w:val="00642A5C"/>
    <w:rsid w:val="006A1E20"/>
    <w:rsid w:val="006B357B"/>
    <w:rsid w:val="006F31BA"/>
    <w:rsid w:val="00712E93"/>
    <w:rsid w:val="0072066C"/>
    <w:rsid w:val="00730C60"/>
    <w:rsid w:val="007410F6"/>
    <w:rsid w:val="0077204D"/>
    <w:rsid w:val="007D2929"/>
    <w:rsid w:val="007E3230"/>
    <w:rsid w:val="00806810"/>
    <w:rsid w:val="00821CB3"/>
    <w:rsid w:val="0082228C"/>
    <w:rsid w:val="00831D01"/>
    <w:rsid w:val="00842E0C"/>
    <w:rsid w:val="008610E2"/>
    <w:rsid w:val="00894BC9"/>
    <w:rsid w:val="008E262D"/>
    <w:rsid w:val="00916469"/>
    <w:rsid w:val="0092464E"/>
    <w:rsid w:val="009409B6"/>
    <w:rsid w:val="0094298F"/>
    <w:rsid w:val="00944003"/>
    <w:rsid w:val="009A5F3D"/>
    <w:rsid w:val="009A63D7"/>
    <w:rsid w:val="009E319D"/>
    <w:rsid w:val="00A01ABC"/>
    <w:rsid w:val="00A17D8D"/>
    <w:rsid w:val="00A73FA2"/>
    <w:rsid w:val="00A908A9"/>
    <w:rsid w:val="00B04D93"/>
    <w:rsid w:val="00B057D7"/>
    <w:rsid w:val="00B05D0E"/>
    <w:rsid w:val="00B30015"/>
    <w:rsid w:val="00B37950"/>
    <w:rsid w:val="00B5255B"/>
    <w:rsid w:val="00BB2C3B"/>
    <w:rsid w:val="00BD6A23"/>
    <w:rsid w:val="00BF63E5"/>
    <w:rsid w:val="00C20CD0"/>
    <w:rsid w:val="00C21BB1"/>
    <w:rsid w:val="00C32F60"/>
    <w:rsid w:val="00C7544D"/>
    <w:rsid w:val="00CA4CA9"/>
    <w:rsid w:val="00CA5B41"/>
    <w:rsid w:val="00CD04D5"/>
    <w:rsid w:val="00D05112"/>
    <w:rsid w:val="00D21D07"/>
    <w:rsid w:val="00D36A9C"/>
    <w:rsid w:val="00D42395"/>
    <w:rsid w:val="00D81DAE"/>
    <w:rsid w:val="00D93AB0"/>
    <w:rsid w:val="00DC737C"/>
    <w:rsid w:val="00DF11EF"/>
    <w:rsid w:val="00E44A18"/>
    <w:rsid w:val="00E83438"/>
    <w:rsid w:val="00F241C5"/>
    <w:rsid w:val="00F4223F"/>
    <w:rsid w:val="00F724A8"/>
    <w:rsid w:val="00F837E9"/>
    <w:rsid w:val="00FD0D30"/>
    <w:rsid w:val="00FD5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17BD45-E4DC-4B4C-95EA-AC17F46E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500235">
      <w:bodyDiv w:val="1"/>
      <w:marLeft w:val="0"/>
      <w:marRight w:val="0"/>
      <w:marTop w:val="0"/>
      <w:marBottom w:val="0"/>
      <w:divBdr>
        <w:top w:val="none" w:sz="0" w:space="0" w:color="auto"/>
        <w:left w:val="none" w:sz="0" w:space="0" w:color="auto"/>
        <w:bottom w:val="none" w:sz="0" w:space="0" w:color="auto"/>
        <w:right w:val="none" w:sz="0" w:space="0" w:color="auto"/>
      </w:divBdr>
    </w:div>
    <w:div w:id="482695792">
      <w:bodyDiv w:val="1"/>
      <w:marLeft w:val="0"/>
      <w:marRight w:val="0"/>
      <w:marTop w:val="0"/>
      <w:marBottom w:val="0"/>
      <w:divBdr>
        <w:top w:val="none" w:sz="0" w:space="0" w:color="auto"/>
        <w:left w:val="none" w:sz="0" w:space="0" w:color="auto"/>
        <w:bottom w:val="none" w:sz="0" w:space="0" w:color="auto"/>
        <w:right w:val="none" w:sz="0" w:space="0" w:color="auto"/>
      </w:divBdr>
    </w:div>
    <w:div w:id="755904920">
      <w:bodyDiv w:val="1"/>
      <w:marLeft w:val="0"/>
      <w:marRight w:val="0"/>
      <w:marTop w:val="0"/>
      <w:marBottom w:val="0"/>
      <w:divBdr>
        <w:top w:val="none" w:sz="0" w:space="0" w:color="auto"/>
        <w:left w:val="none" w:sz="0" w:space="0" w:color="auto"/>
        <w:bottom w:val="none" w:sz="0" w:space="0" w:color="auto"/>
        <w:right w:val="none" w:sz="0" w:space="0" w:color="auto"/>
      </w:divBdr>
    </w:div>
    <w:div w:id="829295677">
      <w:bodyDiv w:val="1"/>
      <w:marLeft w:val="0"/>
      <w:marRight w:val="0"/>
      <w:marTop w:val="0"/>
      <w:marBottom w:val="0"/>
      <w:divBdr>
        <w:top w:val="none" w:sz="0" w:space="0" w:color="auto"/>
        <w:left w:val="none" w:sz="0" w:space="0" w:color="auto"/>
        <w:bottom w:val="none" w:sz="0" w:space="0" w:color="auto"/>
        <w:right w:val="none" w:sz="0" w:space="0" w:color="auto"/>
      </w:divBdr>
    </w:div>
    <w:div w:id="141893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8CE79-0582-4B38-A3FE-2345FCA6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6670</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Eppenhof</dc:creator>
  <cp:keywords/>
  <dc:description/>
  <cp:lastModifiedBy>Johan Eppenhof</cp:lastModifiedBy>
  <cp:revision>2</cp:revision>
  <dcterms:created xsi:type="dcterms:W3CDTF">2020-05-25T07:57:00Z</dcterms:created>
  <dcterms:modified xsi:type="dcterms:W3CDTF">2020-05-25T07:57:00Z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ceb01082-14c7-959f-6614-bc7d3402a7f0</vt:lpwstr>
  </property>
  <property fmtid="{D5CDD505-2E9C-101B-9397-08002B2CF9AE}" pid="3" name="CORSA_OBJECTTYPE">
    <vt:lpwstr>S</vt:lpwstr>
  </property>
  <property fmtid="{D5CDD505-2E9C-101B-9397-08002B2CF9AE}" pid="4" name="CORSA_OBJECTID">
    <vt:lpwstr>4676689</vt:lpwstr>
  </property>
  <property fmtid="{D5CDD505-2E9C-101B-9397-08002B2CF9AE}" pid="5" name="CORSA_VERSION">
    <vt:lpwstr>4</vt:lpwstr>
  </property>
</Properties>
</file>