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8E8" w:rsidRPr="004C1930" w:rsidRDefault="008604B9" w:rsidP="008D78E8">
      <w:pPr>
        <w:rPr>
          <w:b/>
          <w:sz w:val="28"/>
        </w:rPr>
      </w:pPr>
      <w:r w:rsidRPr="004C1930">
        <w:rPr>
          <w:b/>
          <w:sz w:val="28"/>
        </w:rPr>
        <w:t xml:space="preserve">Statenvoorstel </w:t>
      </w:r>
      <w:r>
        <w:rPr>
          <w:b/>
          <w:noProof/>
          <w:sz w:val="28"/>
        </w:rPr>
        <w:t>23</w:t>
      </w:r>
      <w:r w:rsidRPr="004C1930">
        <w:rPr>
          <w:b/>
          <w:sz w:val="28"/>
        </w:rPr>
        <w:t>/</w:t>
      </w:r>
      <w:r>
        <w:rPr>
          <w:b/>
          <w:noProof/>
          <w:sz w:val="28"/>
        </w:rPr>
        <w:t>20</w:t>
      </w:r>
      <w:r w:rsidRPr="004C1930">
        <w:rPr>
          <w:b/>
          <w:sz w:val="28"/>
        </w:rPr>
        <w:t xml:space="preserve"> A</w:t>
      </w:r>
    </w:p>
    <w:p w:rsidR="008D78E8" w:rsidRDefault="004F4C3B" w:rsidP="008D78E8"/>
    <w:p w:rsidR="008D78E8" w:rsidRDefault="004F4C3B" w:rsidP="008D78E8"/>
    <w:p w:rsidR="008D78E8" w:rsidRPr="004C1930" w:rsidRDefault="004F4C3B" w:rsidP="008D78E8"/>
    <w:tbl>
      <w:tblPr>
        <w:tblW w:w="8442" w:type="dxa"/>
        <w:tblLayout w:type="fixed"/>
        <w:tblLook w:val="01E0" w:firstRow="1" w:lastRow="1" w:firstColumn="1" w:lastColumn="1" w:noHBand="0" w:noVBand="0"/>
      </w:tblPr>
      <w:tblGrid>
        <w:gridCol w:w="2812"/>
        <w:gridCol w:w="728"/>
        <w:gridCol w:w="4902"/>
      </w:tblGrid>
      <w:tr w:rsidR="00D8729F" w:rsidTr="00F15FF3">
        <w:tc>
          <w:tcPr>
            <w:tcW w:w="2812" w:type="dxa"/>
            <w:shd w:val="clear" w:color="auto" w:fill="auto"/>
            <w:tcMar>
              <w:top w:w="57" w:type="dxa"/>
              <w:bottom w:w="57" w:type="dxa"/>
            </w:tcMar>
          </w:tcPr>
          <w:p w:rsidR="008D78E8" w:rsidRPr="004C1930" w:rsidRDefault="008604B9" w:rsidP="00F15FF3">
            <w:r w:rsidRPr="004C1930">
              <w:t>Voorgestelde behandeling</w:t>
            </w:r>
          </w:p>
        </w:tc>
        <w:tc>
          <w:tcPr>
            <w:tcW w:w="728" w:type="dxa"/>
            <w:shd w:val="clear" w:color="auto" w:fill="auto"/>
            <w:tcMar>
              <w:top w:w="57" w:type="dxa"/>
              <w:bottom w:w="57" w:type="dxa"/>
            </w:tcMar>
          </w:tcPr>
          <w:p w:rsidR="008D78E8" w:rsidRPr="004C1930" w:rsidRDefault="004F4C3B" w:rsidP="00F15FF3"/>
        </w:tc>
        <w:tc>
          <w:tcPr>
            <w:tcW w:w="4902" w:type="dxa"/>
            <w:shd w:val="clear" w:color="auto" w:fill="auto"/>
            <w:tcMar>
              <w:top w:w="57" w:type="dxa"/>
              <w:bottom w:w="57" w:type="dxa"/>
            </w:tcMar>
          </w:tcPr>
          <w:p w:rsidR="008D78E8" w:rsidRPr="004C1930" w:rsidRDefault="004F4C3B" w:rsidP="00F15FF3"/>
        </w:tc>
      </w:tr>
      <w:tr w:rsidR="00D8729F" w:rsidTr="00F15FF3">
        <w:tc>
          <w:tcPr>
            <w:tcW w:w="2812" w:type="dxa"/>
            <w:shd w:val="clear" w:color="auto" w:fill="auto"/>
            <w:tcMar>
              <w:top w:w="57" w:type="dxa"/>
              <w:bottom w:w="57" w:type="dxa"/>
            </w:tcMar>
          </w:tcPr>
          <w:p w:rsidR="008D78E8" w:rsidRPr="004C1930" w:rsidRDefault="008604B9" w:rsidP="00F15FF3">
            <w:r w:rsidRPr="009A1EE6">
              <w:t>Procedurevergadering</w:t>
            </w:r>
          </w:p>
        </w:tc>
        <w:tc>
          <w:tcPr>
            <w:tcW w:w="728" w:type="dxa"/>
            <w:shd w:val="clear" w:color="auto" w:fill="auto"/>
            <w:tcMar>
              <w:top w:w="57" w:type="dxa"/>
              <w:bottom w:w="57" w:type="dxa"/>
            </w:tcMar>
          </w:tcPr>
          <w:p w:rsidR="008D78E8" w:rsidRPr="004C1930" w:rsidRDefault="008604B9" w:rsidP="00F15FF3">
            <w:r w:rsidRPr="004C1930">
              <w:t>:</w:t>
            </w:r>
          </w:p>
        </w:tc>
        <w:tc>
          <w:tcPr>
            <w:tcW w:w="4902" w:type="dxa"/>
            <w:shd w:val="clear" w:color="auto" w:fill="auto"/>
            <w:tcMar>
              <w:top w:w="57" w:type="dxa"/>
              <w:bottom w:w="57" w:type="dxa"/>
            </w:tcMar>
          </w:tcPr>
          <w:p w:rsidR="008D78E8" w:rsidRPr="004C1930" w:rsidRDefault="008604B9" w:rsidP="008264BE">
            <w:pPr>
              <w:rPr>
                <w:highlight w:val="yellow"/>
              </w:rPr>
            </w:pPr>
            <w:r>
              <w:t xml:space="preserve"> </w:t>
            </w:r>
            <w:r w:rsidR="008264BE">
              <w:t>juni</w:t>
            </w:r>
            <w:r>
              <w:t xml:space="preserve"> 2020</w:t>
            </w:r>
          </w:p>
        </w:tc>
      </w:tr>
      <w:tr w:rsidR="00D8729F" w:rsidTr="00F15FF3">
        <w:tc>
          <w:tcPr>
            <w:tcW w:w="2812" w:type="dxa"/>
            <w:shd w:val="clear" w:color="auto" w:fill="auto"/>
            <w:tcMar>
              <w:top w:w="57" w:type="dxa"/>
              <w:bottom w:w="57" w:type="dxa"/>
            </w:tcMar>
          </w:tcPr>
          <w:p w:rsidR="008D78E8" w:rsidRPr="004C1930" w:rsidRDefault="008604B9" w:rsidP="00F15FF3">
            <w:r w:rsidRPr="004C1930">
              <w:t>PS-vergadering</w:t>
            </w:r>
          </w:p>
        </w:tc>
        <w:tc>
          <w:tcPr>
            <w:tcW w:w="728" w:type="dxa"/>
            <w:shd w:val="clear" w:color="auto" w:fill="auto"/>
            <w:tcMar>
              <w:top w:w="57" w:type="dxa"/>
              <w:bottom w:w="57" w:type="dxa"/>
            </w:tcMar>
          </w:tcPr>
          <w:p w:rsidR="008D78E8" w:rsidRPr="004C1930" w:rsidRDefault="008604B9" w:rsidP="00F15FF3">
            <w:r w:rsidRPr="004C1930">
              <w:t>:</w:t>
            </w:r>
          </w:p>
        </w:tc>
        <w:tc>
          <w:tcPr>
            <w:tcW w:w="4902" w:type="dxa"/>
            <w:shd w:val="clear" w:color="auto" w:fill="auto"/>
            <w:tcMar>
              <w:top w:w="57" w:type="dxa"/>
              <w:bottom w:w="57" w:type="dxa"/>
            </w:tcMar>
          </w:tcPr>
          <w:p w:rsidR="008D78E8" w:rsidRPr="004C1930" w:rsidRDefault="008604B9" w:rsidP="00F15FF3">
            <w:r w:rsidRPr="00F82010">
              <w:rPr>
                <w:i/>
              </w:rPr>
              <w:t>Wordt ingevuld door de griffie</w:t>
            </w:r>
          </w:p>
        </w:tc>
      </w:tr>
    </w:tbl>
    <w:p w:rsidR="008D78E8" w:rsidRPr="004C1930" w:rsidRDefault="004F4C3B" w:rsidP="008D78E8"/>
    <w:p w:rsidR="008D78E8" w:rsidRPr="004C1930" w:rsidRDefault="004F4C3B" w:rsidP="008D78E8"/>
    <w:tbl>
      <w:tblPr>
        <w:tblpPr w:vertAnchor="page" w:horzAnchor="page" w:tblpX="9088" w:tblpY="5011"/>
        <w:tblW w:w="0" w:type="auto"/>
        <w:tblLook w:val="01E0" w:firstRow="1" w:lastRow="1" w:firstColumn="1" w:lastColumn="1" w:noHBand="0" w:noVBand="0"/>
      </w:tblPr>
      <w:tblGrid>
        <w:gridCol w:w="2339"/>
      </w:tblGrid>
      <w:tr w:rsidR="00D8729F" w:rsidTr="00F15FF3">
        <w:trPr>
          <w:trHeight w:val="556"/>
        </w:trPr>
        <w:tc>
          <w:tcPr>
            <w:tcW w:w="2339" w:type="dxa"/>
            <w:shd w:val="clear" w:color="auto" w:fill="auto"/>
          </w:tcPr>
          <w:p w:rsidR="008D78E8" w:rsidRPr="004C1930" w:rsidRDefault="008604B9" w:rsidP="00F15FF3">
            <w:pPr>
              <w:rPr>
                <w:b/>
                <w:sz w:val="14"/>
                <w:szCs w:val="16"/>
              </w:rPr>
            </w:pPr>
            <w:r w:rsidRPr="004C1930">
              <w:rPr>
                <w:b/>
                <w:sz w:val="14"/>
                <w:szCs w:val="16"/>
              </w:rPr>
              <w:t>Datum</w:t>
            </w:r>
          </w:p>
          <w:p w:rsidR="008D78E8" w:rsidRPr="004C1930" w:rsidRDefault="008264BE" w:rsidP="008264BE">
            <w:pPr>
              <w:rPr>
                <w:sz w:val="18"/>
                <w:szCs w:val="18"/>
              </w:rPr>
            </w:pPr>
            <w:r>
              <w:rPr>
                <w:sz w:val="16"/>
                <w:szCs w:val="18"/>
              </w:rPr>
              <w:t>26</w:t>
            </w:r>
            <w:r w:rsidR="008604B9">
              <w:rPr>
                <w:sz w:val="16"/>
                <w:szCs w:val="18"/>
              </w:rPr>
              <w:t xml:space="preserve"> </w:t>
            </w:r>
            <w:r>
              <w:rPr>
                <w:sz w:val="16"/>
                <w:szCs w:val="18"/>
              </w:rPr>
              <w:t>mei</w:t>
            </w:r>
            <w:r w:rsidR="008604B9">
              <w:rPr>
                <w:sz w:val="16"/>
                <w:szCs w:val="18"/>
              </w:rPr>
              <w:t xml:space="preserve"> 2020</w:t>
            </w:r>
          </w:p>
        </w:tc>
      </w:tr>
      <w:tr w:rsidR="00D8729F" w:rsidTr="00F15FF3">
        <w:trPr>
          <w:trHeight w:val="556"/>
        </w:trPr>
        <w:tc>
          <w:tcPr>
            <w:tcW w:w="2339" w:type="dxa"/>
            <w:shd w:val="clear" w:color="auto" w:fill="auto"/>
          </w:tcPr>
          <w:p w:rsidR="008D78E8" w:rsidRPr="004C1930" w:rsidRDefault="008604B9" w:rsidP="00F15FF3">
            <w:pPr>
              <w:rPr>
                <w:b/>
                <w:sz w:val="14"/>
                <w:szCs w:val="16"/>
              </w:rPr>
            </w:pPr>
            <w:r w:rsidRPr="004C1930">
              <w:rPr>
                <w:b/>
                <w:sz w:val="14"/>
                <w:szCs w:val="16"/>
              </w:rPr>
              <w:t>Documentnummer</w:t>
            </w:r>
          </w:p>
          <w:p w:rsidR="008D78E8" w:rsidRPr="004C1930" w:rsidRDefault="00004D61" w:rsidP="00F15FF3">
            <w:pPr>
              <w:rPr>
                <w:sz w:val="18"/>
                <w:szCs w:val="18"/>
              </w:rPr>
            </w:pPr>
            <w:r>
              <w:rPr>
                <w:sz w:val="18"/>
                <w:szCs w:val="18"/>
              </w:rPr>
              <w:t>4677060</w:t>
            </w:r>
          </w:p>
        </w:tc>
      </w:tr>
    </w:tbl>
    <w:p w:rsidR="008D78E8" w:rsidRPr="004C1930" w:rsidRDefault="004F4C3B" w:rsidP="008D78E8"/>
    <w:p w:rsidR="008D78E8" w:rsidRPr="004C1930" w:rsidRDefault="008604B9" w:rsidP="008D78E8">
      <w:r w:rsidRPr="00825B99">
        <w:rPr>
          <w:b/>
          <w:sz w:val="14"/>
          <w:szCs w:val="14"/>
          <w:lang w:val="en-US"/>
        </w:rPr>
        <w:t>Onderwerp</w:t>
      </w:r>
    </w:p>
    <w:p w:rsidR="005B6DFC" w:rsidRPr="005B6DFC" w:rsidRDefault="008604B9" w:rsidP="00C32F60">
      <w:pPr>
        <w:rPr>
          <w:lang w:val="en-US"/>
        </w:rPr>
      </w:pPr>
      <w:r>
        <w:rPr>
          <w:lang w:val="en-US"/>
        </w:rPr>
        <w:t>Provinciale Jaarstukken 2019</w:t>
      </w:r>
    </w:p>
    <w:p w:rsidR="008D78E8" w:rsidRPr="004C1930" w:rsidRDefault="004F4C3B" w:rsidP="008D78E8"/>
    <w:p w:rsidR="008D78E8" w:rsidRPr="004C1930" w:rsidRDefault="004F4C3B" w:rsidP="008D78E8"/>
    <w:p w:rsidR="008D78E8" w:rsidRPr="004C1930" w:rsidRDefault="004F4C3B" w:rsidP="008D78E8"/>
    <w:p w:rsidR="008D78E8" w:rsidRPr="004C1930" w:rsidRDefault="008604B9" w:rsidP="008D78E8">
      <w:r w:rsidRPr="004C1930">
        <w:t>Aan Provinciale Staten van Noord-Brabant</w:t>
      </w:r>
    </w:p>
    <w:p w:rsidR="008D78E8" w:rsidRPr="004C1930" w:rsidRDefault="004F4C3B" w:rsidP="008D78E8"/>
    <w:p w:rsidR="008604B9" w:rsidRDefault="008604B9" w:rsidP="008604B9">
      <w:pPr>
        <w:rPr>
          <w:szCs w:val="20"/>
        </w:rPr>
      </w:pPr>
      <w:r>
        <w:rPr>
          <w:szCs w:val="20"/>
        </w:rPr>
        <w:t>Hierbij bieden wij u de jaarstukken 2019 aan. Hiermee leggen wij verantwoording af aan uw Staten over het in 2019 gevoerde beleid, de geleverde prestaties en de daarvoor ingezette middelen.</w:t>
      </w:r>
    </w:p>
    <w:p w:rsidR="008604B9" w:rsidRDefault="008604B9" w:rsidP="008604B9">
      <w:pPr>
        <w:rPr>
          <w:szCs w:val="20"/>
        </w:rPr>
      </w:pPr>
      <w:r>
        <w:rPr>
          <w:szCs w:val="20"/>
        </w:rPr>
        <w:t>Deze verantwoording volgt de opzet en indeling van de begroting 2019 (de laatste begroting uit de vorige bestuursperiode) en wijkt daarmee af van de begrotingsindeling die door PS voor 2020 is vastgesteld.</w:t>
      </w:r>
    </w:p>
    <w:p w:rsidR="008604B9" w:rsidRDefault="008604B9" w:rsidP="008604B9">
      <w:pPr>
        <w:rPr>
          <w:szCs w:val="20"/>
        </w:rPr>
      </w:pPr>
    </w:p>
    <w:p w:rsidR="008604B9" w:rsidRDefault="008604B9" w:rsidP="008604B9">
      <w:r w:rsidRPr="00747103">
        <w:t>In het algemeen inleidend hoofdstuk van de jaarstukken zijn de belangrijkste prestaties van 201</w:t>
      </w:r>
      <w:r>
        <w:t>9</w:t>
      </w:r>
      <w:r w:rsidRPr="00747103">
        <w:t xml:space="preserve"> toegelicht. Een meer gedetailleerde verantwoording van bereikte resultaten, prestaties en ingezette middelen is in de jaarstukken verder uitgewerkt per programma en productgroep.</w:t>
      </w:r>
      <w:r>
        <w:t xml:space="preserve"> </w:t>
      </w:r>
    </w:p>
    <w:p w:rsidR="008604B9" w:rsidRDefault="008604B9" w:rsidP="008604B9">
      <w:pPr>
        <w:rPr>
          <w:szCs w:val="20"/>
        </w:rPr>
      </w:pPr>
    </w:p>
    <w:p w:rsidR="008604B9" w:rsidRDefault="008604B9" w:rsidP="008604B9">
      <w:pPr>
        <w:rPr>
          <w:szCs w:val="20"/>
        </w:rPr>
      </w:pPr>
      <w:r>
        <w:rPr>
          <w:szCs w:val="20"/>
        </w:rPr>
        <w:t>In dit statenvoorstel wordt nader ingegaan op het rekeningresultaat 2019, de overhevelingen, de extra mutaties in de reserves en het netto besteedbaar resultaat.</w:t>
      </w:r>
    </w:p>
    <w:p w:rsidR="008604B9" w:rsidRDefault="008604B9" w:rsidP="008604B9">
      <w:pPr>
        <w:rPr>
          <w:szCs w:val="20"/>
        </w:rPr>
      </w:pPr>
      <w:r>
        <w:rPr>
          <w:szCs w:val="20"/>
        </w:rPr>
        <w:t>Ook wordt in dit statenvoorstel ingegaan op de controlebevindingen van de accountant.</w:t>
      </w:r>
    </w:p>
    <w:p w:rsidR="008604B9" w:rsidRDefault="008604B9" w:rsidP="008604B9">
      <w:pPr>
        <w:rPr>
          <w:b/>
          <w:szCs w:val="20"/>
        </w:rPr>
      </w:pPr>
    </w:p>
    <w:p w:rsidR="008604B9" w:rsidRPr="00F034E7" w:rsidRDefault="008604B9" w:rsidP="008604B9">
      <w:pPr>
        <w:rPr>
          <w:b/>
          <w:szCs w:val="20"/>
        </w:rPr>
      </w:pPr>
      <w:r w:rsidRPr="00F034E7">
        <w:rPr>
          <w:b/>
          <w:szCs w:val="20"/>
        </w:rPr>
        <w:t>Het voorstel</w:t>
      </w:r>
    </w:p>
    <w:p w:rsidR="008604B9" w:rsidRPr="00692490" w:rsidRDefault="008604B9" w:rsidP="008604B9">
      <w:pPr>
        <w:pStyle w:val="Lijstalinea"/>
        <w:numPr>
          <w:ilvl w:val="0"/>
          <w:numId w:val="40"/>
        </w:numPr>
        <w:rPr>
          <w:szCs w:val="20"/>
        </w:rPr>
      </w:pPr>
      <w:r w:rsidRPr="00692490">
        <w:rPr>
          <w:szCs w:val="20"/>
        </w:rPr>
        <w:t>De jaarstukken 2019 (bijlage 1) van de Provincie Noord-Brabant inclusief de daarbij horende bijlagenbundel met de bijlagen 1 tot en met 13 vast te stellen;</w:t>
      </w:r>
    </w:p>
    <w:p w:rsidR="008604B9" w:rsidRPr="009D3605" w:rsidRDefault="008604B9" w:rsidP="008604B9">
      <w:pPr>
        <w:pStyle w:val="Lijstalinea"/>
        <w:numPr>
          <w:ilvl w:val="0"/>
          <w:numId w:val="40"/>
        </w:numPr>
        <w:rPr>
          <w:szCs w:val="20"/>
        </w:rPr>
      </w:pPr>
      <w:r w:rsidRPr="00692490">
        <w:rPr>
          <w:szCs w:val="20"/>
        </w:rPr>
        <w:t>In te stemmen met de extra mutaties in de reserves tot een totaalbedrag van € 13,</w:t>
      </w:r>
      <w:r w:rsidR="007E5739">
        <w:rPr>
          <w:szCs w:val="20"/>
        </w:rPr>
        <w:t xml:space="preserve">1 </w:t>
      </w:r>
      <w:r w:rsidRPr="00692490">
        <w:rPr>
          <w:szCs w:val="20"/>
        </w:rPr>
        <w:t>miljoen aan</w:t>
      </w:r>
      <w:r w:rsidRPr="009D3605">
        <w:rPr>
          <w:szCs w:val="20"/>
        </w:rPr>
        <w:t xml:space="preserve"> extra stortingen en € </w:t>
      </w:r>
      <w:r w:rsidR="007E5739">
        <w:rPr>
          <w:szCs w:val="20"/>
        </w:rPr>
        <w:t>5,1</w:t>
      </w:r>
      <w:r w:rsidRPr="009D3605">
        <w:rPr>
          <w:szCs w:val="20"/>
        </w:rPr>
        <w:t xml:space="preserve"> miljoen aan extra onttrekkingen zoals aangegeven in bijlage 2;</w:t>
      </w:r>
    </w:p>
    <w:p w:rsidR="008604B9" w:rsidRPr="005C15E7" w:rsidRDefault="008604B9" w:rsidP="008604B9">
      <w:pPr>
        <w:pStyle w:val="Lijstalinea"/>
        <w:numPr>
          <w:ilvl w:val="0"/>
          <w:numId w:val="40"/>
        </w:numPr>
        <w:rPr>
          <w:szCs w:val="20"/>
        </w:rPr>
      </w:pPr>
      <w:r w:rsidRPr="009D3605">
        <w:rPr>
          <w:szCs w:val="20"/>
        </w:rPr>
        <w:lastRenderedPageBreak/>
        <w:t>In te stemmen met de overheveling van de budgetten 201</w:t>
      </w:r>
      <w:r>
        <w:rPr>
          <w:szCs w:val="20"/>
        </w:rPr>
        <w:t>9</w:t>
      </w:r>
      <w:r w:rsidRPr="009D3605">
        <w:rPr>
          <w:szCs w:val="20"/>
        </w:rPr>
        <w:t xml:space="preserve"> naar 20</w:t>
      </w:r>
      <w:r>
        <w:rPr>
          <w:szCs w:val="20"/>
        </w:rPr>
        <w:t>20</w:t>
      </w:r>
      <w:r w:rsidRPr="009D3605">
        <w:rPr>
          <w:szCs w:val="20"/>
        </w:rPr>
        <w:t xml:space="preserve"> en </w:t>
      </w:r>
      <w:r w:rsidRPr="005C15E7">
        <w:rPr>
          <w:szCs w:val="20"/>
        </w:rPr>
        <w:t>volgende jaren tot een totaalbedrag van € 19,</w:t>
      </w:r>
      <w:r w:rsidR="00692490" w:rsidRPr="005C15E7">
        <w:rPr>
          <w:szCs w:val="20"/>
        </w:rPr>
        <w:t>4</w:t>
      </w:r>
      <w:r w:rsidRPr="005C15E7">
        <w:rPr>
          <w:szCs w:val="20"/>
        </w:rPr>
        <w:t xml:space="preserve"> miljoen zoals aangegeven in bijlage 3;</w:t>
      </w:r>
    </w:p>
    <w:p w:rsidR="008604B9" w:rsidRPr="005C15E7" w:rsidRDefault="008604B9" w:rsidP="008604B9">
      <w:pPr>
        <w:pStyle w:val="Lijstalinea"/>
        <w:numPr>
          <w:ilvl w:val="0"/>
          <w:numId w:val="40"/>
        </w:numPr>
        <w:rPr>
          <w:szCs w:val="20"/>
        </w:rPr>
      </w:pPr>
      <w:r w:rsidRPr="005C15E7">
        <w:rPr>
          <w:szCs w:val="20"/>
        </w:rPr>
        <w:t>Kennis te nemen van het accountantsverslag en de bijbehorende controle verklaring (bijlage 4</w:t>
      </w:r>
      <w:r w:rsidR="00AB2702">
        <w:rPr>
          <w:szCs w:val="20"/>
        </w:rPr>
        <w:t>b</w:t>
      </w:r>
      <w:r w:rsidRPr="005C15E7">
        <w:rPr>
          <w:szCs w:val="20"/>
        </w:rPr>
        <w:t>)</w:t>
      </w:r>
      <w:r w:rsidR="00F44760" w:rsidRPr="005C15E7">
        <w:rPr>
          <w:szCs w:val="20"/>
        </w:rPr>
        <w:t xml:space="preserve"> </w:t>
      </w:r>
      <w:r w:rsidR="00F26AC5" w:rsidRPr="005C15E7">
        <w:rPr>
          <w:szCs w:val="20"/>
        </w:rPr>
        <w:t>en van de boardletter (bijlage 4</w:t>
      </w:r>
      <w:r w:rsidR="00AB2702">
        <w:rPr>
          <w:szCs w:val="20"/>
        </w:rPr>
        <w:t>c</w:t>
      </w:r>
      <w:r w:rsidR="00F26AC5" w:rsidRPr="005C15E7">
        <w:rPr>
          <w:szCs w:val="20"/>
        </w:rPr>
        <w:t>)</w:t>
      </w:r>
    </w:p>
    <w:p w:rsidR="008604B9" w:rsidRPr="005C15E7" w:rsidRDefault="008604B9" w:rsidP="008604B9">
      <w:pPr>
        <w:pStyle w:val="Lijstalinea"/>
        <w:numPr>
          <w:ilvl w:val="0"/>
          <w:numId w:val="40"/>
        </w:numPr>
        <w:rPr>
          <w:szCs w:val="20"/>
        </w:rPr>
      </w:pPr>
      <w:r w:rsidRPr="005C15E7">
        <w:rPr>
          <w:szCs w:val="20"/>
        </w:rPr>
        <w:t xml:space="preserve">Het meerjarenperspectief ontwikkelbedrijf vast te stellen (bijlage </w:t>
      </w:r>
      <w:r w:rsidR="003C468F" w:rsidRPr="005C15E7">
        <w:rPr>
          <w:szCs w:val="20"/>
        </w:rPr>
        <w:t>5</w:t>
      </w:r>
      <w:r w:rsidRPr="005C15E7">
        <w:rPr>
          <w:szCs w:val="20"/>
        </w:rPr>
        <w:t>).</w:t>
      </w:r>
    </w:p>
    <w:p w:rsidR="008604B9" w:rsidRDefault="008604B9" w:rsidP="008604B9">
      <w:pPr>
        <w:spacing w:line="240" w:lineRule="auto"/>
        <w:rPr>
          <w:b/>
          <w:szCs w:val="20"/>
        </w:rPr>
      </w:pPr>
    </w:p>
    <w:p w:rsidR="008604B9" w:rsidRDefault="008604B9" w:rsidP="008604B9">
      <w:pPr>
        <w:spacing w:line="240" w:lineRule="auto"/>
        <w:rPr>
          <w:b/>
          <w:szCs w:val="20"/>
        </w:rPr>
      </w:pPr>
    </w:p>
    <w:p w:rsidR="008604B9" w:rsidRPr="00F034E7" w:rsidRDefault="008604B9" w:rsidP="008604B9">
      <w:pPr>
        <w:rPr>
          <w:b/>
          <w:szCs w:val="20"/>
        </w:rPr>
      </w:pPr>
      <w:r>
        <w:rPr>
          <w:b/>
          <w:szCs w:val="20"/>
        </w:rPr>
        <w:t>In</w:t>
      </w:r>
      <w:r w:rsidRPr="00F034E7">
        <w:rPr>
          <w:b/>
          <w:szCs w:val="20"/>
        </w:rPr>
        <w:t>leiding</w:t>
      </w:r>
    </w:p>
    <w:p w:rsidR="008604B9" w:rsidRPr="00BD45CB" w:rsidRDefault="008604B9" w:rsidP="008604B9">
      <w:pPr>
        <w:rPr>
          <w:szCs w:val="20"/>
        </w:rPr>
      </w:pPr>
      <w:r w:rsidRPr="00BD45CB">
        <w:rPr>
          <w:szCs w:val="20"/>
        </w:rPr>
        <w:t xml:space="preserve">De Jaarstukken vormen </w:t>
      </w:r>
      <w:r>
        <w:rPr>
          <w:szCs w:val="20"/>
        </w:rPr>
        <w:t xml:space="preserve">het sluitstuk van de </w:t>
      </w:r>
      <w:hyperlink r:id="rId8" w:history="1">
        <w:r w:rsidRPr="006943A4">
          <w:rPr>
            <w:rStyle w:val="Hyperlink"/>
            <w:szCs w:val="20"/>
          </w:rPr>
          <w:t>P&amp;C-cyclus</w:t>
        </w:r>
      </w:hyperlink>
      <w:r w:rsidRPr="00BD45CB">
        <w:rPr>
          <w:szCs w:val="20"/>
        </w:rPr>
        <w:t>. In de jaarstukken 201</w:t>
      </w:r>
      <w:r>
        <w:rPr>
          <w:szCs w:val="20"/>
        </w:rPr>
        <w:t xml:space="preserve">9 </w:t>
      </w:r>
      <w:r w:rsidRPr="00BD45CB">
        <w:rPr>
          <w:szCs w:val="20"/>
        </w:rPr>
        <w:t>wordt verantwoording afgelegd over de uitvoering van het beleid zoals dat in de begroting 201</w:t>
      </w:r>
      <w:r>
        <w:rPr>
          <w:szCs w:val="20"/>
        </w:rPr>
        <w:t>9</w:t>
      </w:r>
      <w:r w:rsidRPr="00BD45CB">
        <w:rPr>
          <w:szCs w:val="20"/>
        </w:rPr>
        <w:t xml:space="preserve"> was opgenomen.</w:t>
      </w:r>
    </w:p>
    <w:p w:rsidR="008604B9" w:rsidRDefault="008604B9" w:rsidP="008604B9">
      <w:pPr>
        <w:rPr>
          <w:szCs w:val="20"/>
        </w:rPr>
      </w:pPr>
    </w:p>
    <w:p w:rsidR="008604B9" w:rsidRDefault="008604B9" w:rsidP="008604B9">
      <w:pPr>
        <w:rPr>
          <w:szCs w:val="20"/>
        </w:rPr>
      </w:pPr>
      <w:r>
        <w:rPr>
          <w:szCs w:val="20"/>
        </w:rPr>
        <w:t>De jaarstukken bestaan uit het jaarverslag met daarin opgenomen de programmaverantwoording, de specifieke en verplichte paragrafen en de jaarrekening. De jaarstukken gaan vergezeld van het accountantsverslag met daarbij de controleverklaring.</w:t>
      </w:r>
    </w:p>
    <w:p w:rsidR="008604B9" w:rsidRDefault="008604B9" w:rsidP="008604B9">
      <w:pPr>
        <w:rPr>
          <w:szCs w:val="20"/>
        </w:rPr>
      </w:pPr>
      <w:r>
        <w:rPr>
          <w:szCs w:val="20"/>
        </w:rPr>
        <w:t>De jaarstukken zijn samengesteld met inachtneming van het ‘Besluit Begroting en Verantwoording provincies en gemeenten’ (BBV). Het referentiekader voor de jaarstukken is de begroting 2019 inclusief de vier daarbij horende begrotingswijzigingen die door PS zijn vastgesteld.</w:t>
      </w:r>
    </w:p>
    <w:p w:rsidR="008604B9" w:rsidRDefault="008604B9" w:rsidP="008604B9">
      <w:pPr>
        <w:pStyle w:val="Kop1"/>
        <w:keepNext w:val="0"/>
        <w:widowControl w:val="0"/>
        <w:rPr>
          <w:b w:val="0"/>
          <w:sz w:val="20"/>
          <w:szCs w:val="20"/>
        </w:rPr>
      </w:pPr>
    </w:p>
    <w:p w:rsidR="008604B9" w:rsidRPr="00FB25BD" w:rsidRDefault="008604B9" w:rsidP="008604B9">
      <w:pPr>
        <w:rPr>
          <w:szCs w:val="20"/>
          <w:u w:val="single"/>
        </w:rPr>
      </w:pPr>
      <w:r w:rsidRPr="00FB25BD">
        <w:rPr>
          <w:szCs w:val="20"/>
          <w:u w:val="single"/>
        </w:rPr>
        <w:t>Leeswijzer</w:t>
      </w:r>
    </w:p>
    <w:p w:rsidR="008604B9" w:rsidRDefault="008604B9" w:rsidP="008604B9">
      <w:pPr>
        <w:rPr>
          <w:szCs w:val="20"/>
        </w:rPr>
      </w:pPr>
      <w:r>
        <w:rPr>
          <w:szCs w:val="20"/>
        </w:rPr>
        <w:t xml:space="preserve">In de programma’s zijn de doelen, prestaties en middelen uit de begroting 2019 opgenomen. Onder het kopje “Hebben we daarvoor gedaan wat we wilden doen?” zijn per productgroep van elk programma tabellen opgenomen met steeds de verwijzing naar de desbetreffende door PS vastgestelde beleidsnota, de bijbehorende prestaties en indicatoren en tot slot de verantwoording over de geleverde prestaties. </w:t>
      </w:r>
    </w:p>
    <w:p w:rsidR="008604B9" w:rsidRDefault="008604B9" w:rsidP="008604B9">
      <w:pPr>
        <w:rPr>
          <w:szCs w:val="20"/>
        </w:rPr>
      </w:pPr>
    </w:p>
    <w:p w:rsidR="008604B9" w:rsidRDefault="008604B9" w:rsidP="008604B9">
      <w:pPr>
        <w:rPr>
          <w:szCs w:val="20"/>
        </w:rPr>
      </w:pPr>
      <w:r>
        <w:rPr>
          <w:szCs w:val="20"/>
        </w:rPr>
        <w:t>In de paragrafen wordt het beleid op een aantal specifieke onderdelen uiteengezet. De paragrafen geven daarmee een dwarsdoorsnede van de programma’s op deze onderdelen.</w:t>
      </w:r>
    </w:p>
    <w:p w:rsidR="008604B9" w:rsidRDefault="008604B9" w:rsidP="008604B9">
      <w:pPr>
        <w:ind w:left="-26"/>
        <w:rPr>
          <w:szCs w:val="20"/>
        </w:rPr>
      </w:pPr>
      <w:r>
        <w:rPr>
          <w:szCs w:val="20"/>
        </w:rPr>
        <w:t>Op grond van het BBV is een zevental paragrafen voorgeschreven. Naast de verplichte paragrafen zijn ook de paragrafen ‘Investeringsagenda’ en ‘Europese programma’s’ opgenomen waarmee verantwoording wordt afgelegd over de uitvoering van het beleid zoals verwoord in de begroting 2019. Net als voorgaande jaren is het Burgerjaarverslag als laatste paragraaf toegevoegd.</w:t>
      </w:r>
    </w:p>
    <w:p w:rsidR="008604B9" w:rsidRDefault="008604B9" w:rsidP="008604B9">
      <w:pPr>
        <w:rPr>
          <w:szCs w:val="20"/>
        </w:rPr>
      </w:pPr>
    </w:p>
    <w:p w:rsidR="008604B9" w:rsidRDefault="008604B9" w:rsidP="008604B9">
      <w:pPr>
        <w:rPr>
          <w:szCs w:val="20"/>
        </w:rPr>
      </w:pPr>
      <w:r>
        <w:rPr>
          <w:szCs w:val="20"/>
        </w:rPr>
        <w:t>Verder vindt u in de bijlagenbundel bij de Jaarstukken 2019 de specificaties met betrekking tot de balans.</w:t>
      </w:r>
    </w:p>
    <w:p w:rsidR="008604B9" w:rsidRDefault="008604B9" w:rsidP="008604B9">
      <w:pPr>
        <w:rPr>
          <w:szCs w:val="20"/>
        </w:rPr>
      </w:pPr>
    </w:p>
    <w:p w:rsidR="008604B9" w:rsidRDefault="008604B9" w:rsidP="008604B9">
      <w:pPr>
        <w:rPr>
          <w:szCs w:val="20"/>
        </w:rPr>
      </w:pPr>
      <w:r>
        <w:rPr>
          <w:szCs w:val="20"/>
        </w:rPr>
        <w:t xml:space="preserve">Aan de jaarstukken is een algemeen inleidend hoofdstuk toegevoegd. In dit hoofdstuk geven wij in een beknopt bestek een samenvattend beeld van de hoofdlijnen van de jaarverantwoording. Diepgaandere en uitgebreidere </w:t>
      </w:r>
      <w:r>
        <w:rPr>
          <w:szCs w:val="20"/>
        </w:rPr>
        <w:lastRenderedPageBreak/>
        <w:t>informatie is vervolgens te vinden in de programma-verantwoording en de paragrafen.</w:t>
      </w:r>
    </w:p>
    <w:p w:rsidR="008604B9" w:rsidRDefault="008604B9" w:rsidP="008604B9">
      <w:pPr>
        <w:tabs>
          <w:tab w:val="right" w:pos="7380"/>
        </w:tabs>
        <w:rPr>
          <w:szCs w:val="20"/>
        </w:rPr>
      </w:pPr>
    </w:p>
    <w:p w:rsidR="008604B9" w:rsidRDefault="008604B9" w:rsidP="008604B9">
      <w:pPr>
        <w:rPr>
          <w:b/>
          <w:szCs w:val="20"/>
        </w:rPr>
      </w:pPr>
    </w:p>
    <w:p w:rsidR="008604B9" w:rsidRPr="00FB25BD" w:rsidRDefault="008604B9" w:rsidP="008604B9">
      <w:pPr>
        <w:rPr>
          <w:b/>
          <w:szCs w:val="20"/>
        </w:rPr>
      </w:pPr>
      <w:r w:rsidRPr="00FB25BD">
        <w:rPr>
          <w:b/>
          <w:szCs w:val="20"/>
        </w:rPr>
        <w:t>1 Resultaat op hoofdlijnen</w:t>
      </w:r>
    </w:p>
    <w:p w:rsidR="008604B9" w:rsidRPr="0098793F" w:rsidRDefault="008604B9" w:rsidP="008604B9">
      <w:pPr>
        <w:spacing w:line="280" w:lineRule="atLeast"/>
        <w:rPr>
          <w:rFonts w:eastAsia="MS Mincho" w:cs="Maiandra GD"/>
          <w:szCs w:val="20"/>
        </w:rPr>
      </w:pPr>
      <w:r w:rsidRPr="0098793F">
        <w:rPr>
          <w:rFonts w:eastAsia="MS Mincho" w:cs="Maiandra GD"/>
          <w:szCs w:val="20"/>
        </w:rPr>
        <w:t>In 201</w:t>
      </w:r>
      <w:r>
        <w:rPr>
          <w:rFonts w:eastAsia="MS Mincho" w:cs="Maiandra GD"/>
          <w:szCs w:val="20"/>
        </w:rPr>
        <w:t>9</w:t>
      </w:r>
      <w:r w:rsidRPr="0098793F">
        <w:rPr>
          <w:rFonts w:eastAsia="MS Mincho" w:cs="Maiandra GD"/>
          <w:szCs w:val="20"/>
        </w:rPr>
        <w:t xml:space="preserve"> hebben we hard gewerkt aan de ambities van Brabant. Brabant is in beweging. De resultaten die we in de begroting 201</w:t>
      </w:r>
      <w:r>
        <w:rPr>
          <w:rFonts w:eastAsia="MS Mincho" w:cs="Maiandra GD"/>
          <w:szCs w:val="20"/>
        </w:rPr>
        <w:t>9</w:t>
      </w:r>
      <w:r w:rsidRPr="0098793F">
        <w:rPr>
          <w:rFonts w:eastAsia="MS Mincho" w:cs="Maiandra GD"/>
          <w:szCs w:val="20"/>
        </w:rPr>
        <w:t xml:space="preserve"> gepland hebben, zijn grotendeels gerealiseerd. Uiteraard zijn er gedurende het jaar zaken anders gelopen dan we vooraf hadden gedacht. Waar daar sprake van is hebben we dat in de verantwoording op de diverse onderdelen toegelicht. </w:t>
      </w:r>
    </w:p>
    <w:p w:rsidR="008604B9" w:rsidRDefault="008604B9" w:rsidP="008604B9">
      <w:pPr>
        <w:tabs>
          <w:tab w:val="right" w:pos="7380"/>
        </w:tabs>
        <w:rPr>
          <w:szCs w:val="20"/>
        </w:rPr>
      </w:pPr>
    </w:p>
    <w:p w:rsidR="008604B9" w:rsidRPr="00FB25BD" w:rsidRDefault="008604B9" w:rsidP="008604B9">
      <w:pPr>
        <w:tabs>
          <w:tab w:val="right" w:pos="7380"/>
        </w:tabs>
        <w:rPr>
          <w:b/>
          <w:szCs w:val="20"/>
        </w:rPr>
      </w:pPr>
      <w:r w:rsidRPr="00FB25BD">
        <w:rPr>
          <w:b/>
          <w:szCs w:val="20"/>
        </w:rPr>
        <w:t>2 Rekeningresultaat</w:t>
      </w:r>
    </w:p>
    <w:p w:rsidR="008604B9" w:rsidRPr="00102E69" w:rsidRDefault="008604B9" w:rsidP="008604B9">
      <w:pPr>
        <w:tabs>
          <w:tab w:val="right" w:pos="7380"/>
        </w:tabs>
        <w:rPr>
          <w:szCs w:val="20"/>
        </w:rPr>
      </w:pPr>
      <w:r w:rsidRPr="003D77A4">
        <w:rPr>
          <w:szCs w:val="20"/>
        </w:rPr>
        <w:t>De jaarstukken 201</w:t>
      </w:r>
      <w:r>
        <w:rPr>
          <w:szCs w:val="20"/>
        </w:rPr>
        <w:t>9</w:t>
      </w:r>
      <w:r w:rsidRPr="003D77A4">
        <w:rPr>
          <w:szCs w:val="20"/>
        </w:rPr>
        <w:t xml:space="preserve"> laten een netto besteedbaar resultaat zien van €</w:t>
      </w:r>
      <w:r>
        <w:rPr>
          <w:szCs w:val="20"/>
        </w:rPr>
        <w:t xml:space="preserve">  </w:t>
      </w:r>
      <w:r w:rsidR="00692490">
        <w:rPr>
          <w:szCs w:val="20"/>
        </w:rPr>
        <w:t>9,3</w:t>
      </w:r>
      <w:r w:rsidRPr="003D77A4">
        <w:rPr>
          <w:szCs w:val="20"/>
        </w:rPr>
        <w:t xml:space="preserve"> mln. Dit is het resultaat dat resteert na verwerking van een aantal </w:t>
      </w:r>
      <w:r w:rsidRPr="00102E69">
        <w:rPr>
          <w:szCs w:val="20"/>
        </w:rPr>
        <w:t xml:space="preserve">voorstellen. </w:t>
      </w:r>
    </w:p>
    <w:p w:rsidR="008604B9" w:rsidRPr="00102E69" w:rsidRDefault="008604B9" w:rsidP="008604B9">
      <w:pPr>
        <w:tabs>
          <w:tab w:val="right" w:pos="7380"/>
        </w:tabs>
        <w:rPr>
          <w:szCs w:val="20"/>
        </w:rPr>
      </w:pPr>
    </w:p>
    <w:p w:rsidR="008604B9" w:rsidRDefault="008604B9" w:rsidP="008604B9">
      <w:pPr>
        <w:tabs>
          <w:tab w:val="right" w:pos="7380"/>
        </w:tabs>
        <w:rPr>
          <w:szCs w:val="20"/>
        </w:rPr>
      </w:pPr>
      <w:r w:rsidRPr="00102E69">
        <w:rPr>
          <w:szCs w:val="20"/>
        </w:rPr>
        <w:t>Het netto besteedbaar resultaat komt als volgt tot stand:</w:t>
      </w:r>
    </w:p>
    <w:tbl>
      <w:tblPr>
        <w:tblW w:w="5732" w:type="dxa"/>
        <w:tblCellMar>
          <w:left w:w="70" w:type="dxa"/>
          <w:right w:w="70" w:type="dxa"/>
        </w:tblCellMar>
        <w:tblLook w:val="04A0" w:firstRow="1" w:lastRow="0" w:firstColumn="1" w:lastColumn="0" w:noHBand="0" w:noVBand="1"/>
      </w:tblPr>
      <w:tblGrid>
        <w:gridCol w:w="287"/>
        <w:gridCol w:w="3992"/>
        <w:gridCol w:w="1576"/>
      </w:tblGrid>
      <w:tr w:rsidR="00692490" w:rsidRPr="00692490" w:rsidTr="00692490">
        <w:trPr>
          <w:trHeight w:val="315"/>
        </w:trPr>
        <w:tc>
          <w:tcPr>
            <w:tcW w:w="4156" w:type="dxa"/>
            <w:gridSpan w:val="2"/>
            <w:tcBorders>
              <w:top w:val="single" w:sz="4" w:space="0" w:color="auto"/>
              <w:left w:val="nil"/>
              <w:bottom w:val="single" w:sz="8" w:space="0" w:color="auto"/>
              <w:right w:val="nil"/>
            </w:tcBorders>
            <w:shd w:val="clear" w:color="000000" w:fill="FFFFFF"/>
            <w:noWrap/>
            <w:hideMark/>
          </w:tcPr>
          <w:p w:rsidR="00692490" w:rsidRPr="00692490" w:rsidRDefault="00692490" w:rsidP="00692490">
            <w:pPr>
              <w:spacing w:line="240" w:lineRule="auto"/>
              <w:rPr>
                <w:color w:val="000000"/>
                <w:szCs w:val="20"/>
              </w:rPr>
            </w:pPr>
            <w:r w:rsidRPr="00692490">
              <w:rPr>
                <w:color w:val="000000"/>
                <w:szCs w:val="20"/>
              </w:rPr>
              <w:t>Van bruto naar netto resultaat</w:t>
            </w:r>
          </w:p>
        </w:tc>
        <w:tc>
          <w:tcPr>
            <w:tcW w:w="1576" w:type="dxa"/>
            <w:tcBorders>
              <w:top w:val="single" w:sz="4" w:space="0" w:color="auto"/>
              <w:left w:val="nil"/>
              <w:bottom w:val="single" w:sz="8" w:space="0" w:color="auto"/>
              <w:right w:val="nil"/>
            </w:tcBorders>
            <w:shd w:val="clear" w:color="000000" w:fill="FFFFFF"/>
            <w:noWrap/>
            <w:hideMark/>
          </w:tcPr>
          <w:p w:rsidR="00692490" w:rsidRPr="00692490" w:rsidRDefault="00692490" w:rsidP="00692490">
            <w:pPr>
              <w:spacing w:line="240" w:lineRule="auto"/>
              <w:jc w:val="center"/>
              <w:rPr>
                <w:color w:val="000000"/>
                <w:szCs w:val="20"/>
              </w:rPr>
            </w:pPr>
            <w:r w:rsidRPr="00692490">
              <w:rPr>
                <w:color w:val="000000"/>
                <w:szCs w:val="20"/>
              </w:rPr>
              <w:t>€</w:t>
            </w:r>
          </w:p>
        </w:tc>
      </w:tr>
      <w:tr w:rsidR="00692490" w:rsidRPr="00692490" w:rsidTr="00692490">
        <w:trPr>
          <w:trHeight w:val="300"/>
        </w:trPr>
        <w:tc>
          <w:tcPr>
            <w:tcW w:w="164" w:type="dxa"/>
            <w:tcBorders>
              <w:top w:val="nil"/>
              <w:left w:val="nil"/>
              <w:bottom w:val="nil"/>
              <w:right w:val="nil"/>
            </w:tcBorders>
            <w:shd w:val="clear" w:color="000000" w:fill="FFFFFF"/>
            <w:noWrap/>
            <w:hideMark/>
          </w:tcPr>
          <w:p w:rsidR="00692490" w:rsidRPr="00692490" w:rsidRDefault="00692490" w:rsidP="00692490">
            <w:pPr>
              <w:spacing w:line="240" w:lineRule="auto"/>
              <w:rPr>
                <w:color w:val="000000"/>
                <w:szCs w:val="20"/>
              </w:rPr>
            </w:pPr>
            <w:r w:rsidRPr="00692490">
              <w:rPr>
                <w:color w:val="000000"/>
                <w:szCs w:val="20"/>
              </w:rPr>
              <w:t> </w:t>
            </w:r>
          </w:p>
        </w:tc>
        <w:tc>
          <w:tcPr>
            <w:tcW w:w="3992" w:type="dxa"/>
            <w:tcBorders>
              <w:top w:val="nil"/>
              <w:left w:val="nil"/>
              <w:bottom w:val="nil"/>
              <w:right w:val="nil"/>
            </w:tcBorders>
            <w:shd w:val="clear" w:color="000000" w:fill="FFFFFF"/>
            <w:noWrap/>
            <w:hideMark/>
          </w:tcPr>
          <w:p w:rsidR="00692490" w:rsidRPr="00692490" w:rsidRDefault="00692490" w:rsidP="00692490">
            <w:pPr>
              <w:spacing w:line="240" w:lineRule="auto"/>
              <w:rPr>
                <w:color w:val="000000"/>
                <w:szCs w:val="20"/>
              </w:rPr>
            </w:pPr>
            <w:r w:rsidRPr="00692490">
              <w:rPr>
                <w:color w:val="000000"/>
                <w:szCs w:val="20"/>
              </w:rPr>
              <w:t>Voordelig bruto rekeningresultaat 2019</w:t>
            </w:r>
          </w:p>
        </w:tc>
        <w:tc>
          <w:tcPr>
            <w:tcW w:w="1576" w:type="dxa"/>
            <w:tcBorders>
              <w:top w:val="nil"/>
              <w:left w:val="nil"/>
              <w:bottom w:val="nil"/>
              <w:right w:val="nil"/>
            </w:tcBorders>
            <w:shd w:val="clear" w:color="000000" w:fill="FFFFFF"/>
            <w:noWrap/>
            <w:hideMark/>
          </w:tcPr>
          <w:p w:rsidR="00692490" w:rsidRPr="00692490" w:rsidRDefault="00692490" w:rsidP="00692490">
            <w:pPr>
              <w:spacing w:line="240" w:lineRule="auto"/>
              <w:jc w:val="right"/>
              <w:rPr>
                <w:color w:val="000000"/>
                <w:szCs w:val="20"/>
              </w:rPr>
            </w:pPr>
            <w:r w:rsidRPr="00692490">
              <w:rPr>
                <w:color w:val="000000"/>
                <w:szCs w:val="20"/>
              </w:rPr>
              <w:t>36.652.394</w:t>
            </w:r>
          </w:p>
        </w:tc>
      </w:tr>
      <w:tr w:rsidR="00692490" w:rsidRPr="00692490" w:rsidTr="00692490">
        <w:trPr>
          <w:trHeight w:val="300"/>
        </w:trPr>
        <w:tc>
          <w:tcPr>
            <w:tcW w:w="164" w:type="dxa"/>
            <w:tcBorders>
              <w:top w:val="nil"/>
              <w:left w:val="nil"/>
              <w:bottom w:val="nil"/>
              <w:right w:val="nil"/>
            </w:tcBorders>
            <w:shd w:val="clear" w:color="000000" w:fill="FFFFFF"/>
            <w:noWrap/>
            <w:hideMark/>
          </w:tcPr>
          <w:p w:rsidR="00692490" w:rsidRPr="00692490" w:rsidRDefault="00692490" w:rsidP="00692490">
            <w:pPr>
              <w:spacing w:line="240" w:lineRule="auto"/>
              <w:rPr>
                <w:color w:val="000000"/>
                <w:szCs w:val="20"/>
              </w:rPr>
            </w:pPr>
            <w:r w:rsidRPr="00692490">
              <w:rPr>
                <w:color w:val="000000"/>
                <w:szCs w:val="20"/>
              </w:rPr>
              <w:t>A</w:t>
            </w:r>
          </w:p>
        </w:tc>
        <w:tc>
          <w:tcPr>
            <w:tcW w:w="3992" w:type="dxa"/>
            <w:tcBorders>
              <w:top w:val="nil"/>
              <w:left w:val="nil"/>
              <w:bottom w:val="nil"/>
              <w:right w:val="nil"/>
            </w:tcBorders>
            <w:shd w:val="clear" w:color="000000" w:fill="FFFFFF"/>
            <w:noWrap/>
            <w:hideMark/>
          </w:tcPr>
          <w:p w:rsidR="00692490" w:rsidRPr="00692490" w:rsidRDefault="00692490" w:rsidP="00692490">
            <w:pPr>
              <w:spacing w:line="240" w:lineRule="auto"/>
              <w:rPr>
                <w:color w:val="000000"/>
                <w:szCs w:val="20"/>
              </w:rPr>
            </w:pPr>
            <w:r w:rsidRPr="00692490">
              <w:rPr>
                <w:color w:val="000000"/>
                <w:szCs w:val="20"/>
              </w:rPr>
              <w:t>Extra toevoegingen aan reserves</w:t>
            </w:r>
          </w:p>
        </w:tc>
        <w:tc>
          <w:tcPr>
            <w:tcW w:w="1576" w:type="dxa"/>
            <w:tcBorders>
              <w:top w:val="nil"/>
              <w:left w:val="nil"/>
              <w:bottom w:val="nil"/>
              <w:right w:val="nil"/>
            </w:tcBorders>
            <w:shd w:val="clear" w:color="000000" w:fill="FFFFFF"/>
            <w:noWrap/>
            <w:hideMark/>
          </w:tcPr>
          <w:p w:rsidR="00692490" w:rsidRPr="00692490" w:rsidRDefault="00692490" w:rsidP="00692490">
            <w:pPr>
              <w:spacing w:line="240" w:lineRule="auto"/>
              <w:jc w:val="right"/>
              <w:rPr>
                <w:color w:val="000000"/>
                <w:szCs w:val="20"/>
              </w:rPr>
            </w:pPr>
            <w:r w:rsidRPr="00692490">
              <w:rPr>
                <w:color w:val="000000"/>
                <w:szCs w:val="20"/>
              </w:rPr>
              <w:t>-13.090.375</w:t>
            </w:r>
          </w:p>
        </w:tc>
      </w:tr>
      <w:tr w:rsidR="00692490" w:rsidRPr="00692490" w:rsidTr="00692490">
        <w:trPr>
          <w:trHeight w:val="300"/>
        </w:trPr>
        <w:tc>
          <w:tcPr>
            <w:tcW w:w="164" w:type="dxa"/>
            <w:tcBorders>
              <w:top w:val="nil"/>
              <w:left w:val="nil"/>
              <w:bottom w:val="nil"/>
              <w:right w:val="nil"/>
            </w:tcBorders>
            <w:shd w:val="clear" w:color="000000" w:fill="FFFFFF"/>
            <w:noWrap/>
            <w:hideMark/>
          </w:tcPr>
          <w:p w:rsidR="00692490" w:rsidRPr="00692490" w:rsidRDefault="00692490" w:rsidP="00692490">
            <w:pPr>
              <w:spacing w:line="240" w:lineRule="auto"/>
              <w:rPr>
                <w:color w:val="000000"/>
                <w:szCs w:val="20"/>
              </w:rPr>
            </w:pPr>
            <w:r w:rsidRPr="00692490">
              <w:rPr>
                <w:color w:val="000000"/>
                <w:szCs w:val="20"/>
              </w:rPr>
              <w:t>B</w:t>
            </w:r>
          </w:p>
        </w:tc>
        <w:tc>
          <w:tcPr>
            <w:tcW w:w="3992" w:type="dxa"/>
            <w:tcBorders>
              <w:top w:val="nil"/>
              <w:left w:val="nil"/>
              <w:bottom w:val="nil"/>
              <w:right w:val="nil"/>
            </w:tcBorders>
            <w:shd w:val="clear" w:color="000000" w:fill="FFFFFF"/>
            <w:noWrap/>
            <w:hideMark/>
          </w:tcPr>
          <w:p w:rsidR="00692490" w:rsidRPr="00692490" w:rsidRDefault="00692490" w:rsidP="00692490">
            <w:pPr>
              <w:spacing w:line="240" w:lineRule="auto"/>
              <w:rPr>
                <w:color w:val="000000"/>
                <w:szCs w:val="20"/>
              </w:rPr>
            </w:pPr>
            <w:r w:rsidRPr="00692490">
              <w:rPr>
                <w:color w:val="000000"/>
                <w:szCs w:val="20"/>
              </w:rPr>
              <w:t>Extra onttrekkingen aan reserves</w:t>
            </w:r>
          </w:p>
        </w:tc>
        <w:tc>
          <w:tcPr>
            <w:tcW w:w="1576" w:type="dxa"/>
            <w:tcBorders>
              <w:top w:val="nil"/>
              <w:left w:val="nil"/>
              <w:bottom w:val="nil"/>
              <w:right w:val="nil"/>
            </w:tcBorders>
            <w:shd w:val="clear" w:color="000000" w:fill="FFFFFF"/>
            <w:noWrap/>
            <w:hideMark/>
          </w:tcPr>
          <w:p w:rsidR="00692490" w:rsidRPr="00692490" w:rsidRDefault="00692490" w:rsidP="00692490">
            <w:pPr>
              <w:spacing w:line="240" w:lineRule="auto"/>
              <w:jc w:val="right"/>
              <w:rPr>
                <w:color w:val="000000"/>
                <w:szCs w:val="20"/>
              </w:rPr>
            </w:pPr>
            <w:r w:rsidRPr="00692490">
              <w:rPr>
                <w:color w:val="000000"/>
                <w:szCs w:val="20"/>
              </w:rPr>
              <w:t>5.148.401</w:t>
            </w:r>
          </w:p>
        </w:tc>
      </w:tr>
      <w:tr w:rsidR="00692490" w:rsidRPr="00692490" w:rsidTr="00692490">
        <w:trPr>
          <w:trHeight w:val="300"/>
        </w:trPr>
        <w:tc>
          <w:tcPr>
            <w:tcW w:w="164" w:type="dxa"/>
            <w:tcBorders>
              <w:top w:val="nil"/>
              <w:left w:val="nil"/>
              <w:bottom w:val="nil"/>
              <w:right w:val="nil"/>
            </w:tcBorders>
            <w:shd w:val="clear" w:color="000000" w:fill="FFFFFF"/>
            <w:noWrap/>
            <w:hideMark/>
          </w:tcPr>
          <w:p w:rsidR="00692490" w:rsidRPr="00692490" w:rsidRDefault="00692490" w:rsidP="00692490">
            <w:pPr>
              <w:spacing w:line="240" w:lineRule="auto"/>
              <w:rPr>
                <w:color w:val="000000"/>
                <w:szCs w:val="20"/>
              </w:rPr>
            </w:pPr>
            <w:r w:rsidRPr="00692490">
              <w:rPr>
                <w:color w:val="000000"/>
                <w:szCs w:val="20"/>
              </w:rPr>
              <w:t> </w:t>
            </w:r>
          </w:p>
        </w:tc>
        <w:tc>
          <w:tcPr>
            <w:tcW w:w="3992" w:type="dxa"/>
            <w:tcBorders>
              <w:top w:val="nil"/>
              <w:left w:val="nil"/>
              <w:bottom w:val="nil"/>
              <w:right w:val="nil"/>
            </w:tcBorders>
            <w:shd w:val="clear" w:color="000000" w:fill="FFFFFF"/>
            <w:noWrap/>
            <w:hideMark/>
          </w:tcPr>
          <w:p w:rsidR="00692490" w:rsidRPr="00692490" w:rsidRDefault="00692490" w:rsidP="00692490">
            <w:pPr>
              <w:spacing w:line="240" w:lineRule="auto"/>
              <w:rPr>
                <w:color w:val="000000"/>
                <w:szCs w:val="20"/>
              </w:rPr>
            </w:pPr>
            <w:r w:rsidRPr="00692490">
              <w:rPr>
                <w:color w:val="000000"/>
                <w:szCs w:val="20"/>
              </w:rPr>
              <w:t> </w:t>
            </w:r>
          </w:p>
        </w:tc>
        <w:tc>
          <w:tcPr>
            <w:tcW w:w="1576" w:type="dxa"/>
            <w:tcBorders>
              <w:top w:val="nil"/>
              <w:left w:val="nil"/>
              <w:bottom w:val="nil"/>
              <w:right w:val="nil"/>
            </w:tcBorders>
            <w:shd w:val="clear" w:color="000000" w:fill="FFFFFF"/>
            <w:noWrap/>
            <w:hideMark/>
          </w:tcPr>
          <w:p w:rsidR="00692490" w:rsidRPr="00692490" w:rsidRDefault="00692490" w:rsidP="00692490">
            <w:pPr>
              <w:spacing w:line="240" w:lineRule="auto"/>
              <w:rPr>
                <w:color w:val="000000"/>
                <w:szCs w:val="20"/>
              </w:rPr>
            </w:pPr>
            <w:r w:rsidRPr="00692490">
              <w:rPr>
                <w:color w:val="000000"/>
                <w:szCs w:val="20"/>
              </w:rPr>
              <w:t> </w:t>
            </w:r>
          </w:p>
        </w:tc>
      </w:tr>
      <w:tr w:rsidR="00692490" w:rsidRPr="00692490" w:rsidTr="00692490">
        <w:trPr>
          <w:trHeight w:val="300"/>
        </w:trPr>
        <w:tc>
          <w:tcPr>
            <w:tcW w:w="164" w:type="dxa"/>
            <w:tcBorders>
              <w:top w:val="nil"/>
              <w:left w:val="nil"/>
              <w:bottom w:val="nil"/>
              <w:right w:val="nil"/>
            </w:tcBorders>
            <w:shd w:val="clear" w:color="000000" w:fill="FFFFFF"/>
            <w:noWrap/>
            <w:hideMark/>
          </w:tcPr>
          <w:p w:rsidR="00692490" w:rsidRPr="00692490" w:rsidRDefault="00692490" w:rsidP="00692490">
            <w:pPr>
              <w:spacing w:line="240" w:lineRule="auto"/>
              <w:rPr>
                <w:color w:val="000000"/>
                <w:szCs w:val="20"/>
              </w:rPr>
            </w:pPr>
            <w:r w:rsidRPr="00692490">
              <w:rPr>
                <w:color w:val="000000"/>
                <w:szCs w:val="20"/>
              </w:rPr>
              <w:t>C</w:t>
            </w:r>
          </w:p>
        </w:tc>
        <w:tc>
          <w:tcPr>
            <w:tcW w:w="3992" w:type="dxa"/>
            <w:tcBorders>
              <w:top w:val="nil"/>
              <w:left w:val="nil"/>
              <w:bottom w:val="nil"/>
              <w:right w:val="nil"/>
            </w:tcBorders>
            <w:shd w:val="clear" w:color="000000" w:fill="FFFFFF"/>
            <w:noWrap/>
            <w:hideMark/>
          </w:tcPr>
          <w:p w:rsidR="00692490" w:rsidRPr="00692490" w:rsidRDefault="00692490" w:rsidP="00692490">
            <w:pPr>
              <w:spacing w:line="240" w:lineRule="auto"/>
              <w:rPr>
                <w:color w:val="000000"/>
                <w:szCs w:val="20"/>
              </w:rPr>
            </w:pPr>
            <w:r w:rsidRPr="00692490">
              <w:rPr>
                <w:color w:val="000000"/>
                <w:szCs w:val="20"/>
              </w:rPr>
              <w:t>Overhevelingen die voldoen aan criteria</w:t>
            </w:r>
          </w:p>
        </w:tc>
        <w:tc>
          <w:tcPr>
            <w:tcW w:w="1576" w:type="dxa"/>
            <w:tcBorders>
              <w:top w:val="nil"/>
              <w:left w:val="nil"/>
              <w:bottom w:val="nil"/>
              <w:right w:val="nil"/>
            </w:tcBorders>
            <w:shd w:val="clear" w:color="000000" w:fill="FFFFFF"/>
            <w:noWrap/>
            <w:hideMark/>
          </w:tcPr>
          <w:p w:rsidR="00692490" w:rsidRPr="00692490" w:rsidRDefault="00692490" w:rsidP="00692490">
            <w:pPr>
              <w:spacing w:line="240" w:lineRule="auto"/>
              <w:jc w:val="right"/>
              <w:rPr>
                <w:color w:val="000000"/>
                <w:szCs w:val="20"/>
              </w:rPr>
            </w:pPr>
            <w:r w:rsidRPr="00692490">
              <w:rPr>
                <w:color w:val="000000"/>
                <w:szCs w:val="20"/>
              </w:rPr>
              <w:t>-13.158.276</w:t>
            </w:r>
          </w:p>
        </w:tc>
      </w:tr>
      <w:tr w:rsidR="00692490" w:rsidRPr="00692490" w:rsidTr="00692490">
        <w:trPr>
          <w:trHeight w:val="300"/>
        </w:trPr>
        <w:tc>
          <w:tcPr>
            <w:tcW w:w="164" w:type="dxa"/>
            <w:tcBorders>
              <w:top w:val="nil"/>
              <w:left w:val="nil"/>
              <w:bottom w:val="nil"/>
              <w:right w:val="nil"/>
            </w:tcBorders>
            <w:shd w:val="clear" w:color="000000" w:fill="FFFFFF"/>
            <w:noWrap/>
            <w:hideMark/>
          </w:tcPr>
          <w:p w:rsidR="00692490" w:rsidRPr="00692490" w:rsidRDefault="00692490" w:rsidP="00692490">
            <w:pPr>
              <w:spacing w:line="240" w:lineRule="auto"/>
              <w:rPr>
                <w:color w:val="000000"/>
                <w:szCs w:val="20"/>
              </w:rPr>
            </w:pPr>
            <w:r w:rsidRPr="00692490">
              <w:rPr>
                <w:color w:val="000000"/>
                <w:szCs w:val="20"/>
              </w:rPr>
              <w:t>D</w:t>
            </w:r>
          </w:p>
        </w:tc>
        <w:tc>
          <w:tcPr>
            <w:tcW w:w="3992" w:type="dxa"/>
            <w:tcBorders>
              <w:top w:val="nil"/>
              <w:left w:val="nil"/>
              <w:bottom w:val="nil"/>
              <w:right w:val="nil"/>
            </w:tcBorders>
            <w:shd w:val="clear" w:color="000000" w:fill="FFFFFF"/>
            <w:noWrap/>
            <w:hideMark/>
          </w:tcPr>
          <w:p w:rsidR="00692490" w:rsidRPr="00692490" w:rsidRDefault="00692490" w:rsidP="00692490">
            <w:pPr>
              <w:spacing w:line="240" w:lineRule="auto"/>
              <w:rPr>
                <w:color w:val="000000"/>
                <w:szCs w:val="20"/>
              </w:rPr>
            </w:pPr>
            <w:r w:rsidRPr="00692490">
              <w:rPr>
                <w:color w:val="000000"/>
                <w:szCs w:val="20"/>
              </w:rPr>
              <w:t>Overheveling die niet voldoen</w:t>
            </w:r>
          </w:p>
        </w:tc>
        <w:tc>
          <w:tcPr>
            <w:tcW w:w="1576" w:type="dxa"/>
            <w:tcBorders>
              <w:top w:val="nil"/>
              <w:left w:val="nil"/>
              <w:bottom w:val="nil"/>
              <w:right w:val="nil"/>
            </w:tcBorders>
            <w:shd w:val="clear" w:color="000000" w:fill="FFFFFF"/>
            <w:noWrap/>
            <w:hideMark/>
          </w:tcPr>
          <w:p w:rsidR="00692490" w:rsidRPr="00692490" w:rsidRDefault="00692490" w:rsidP="00692490">
            <w:pPr>
              <w:spacing w:line="240" w:lineRule="auto"/>
              <w:jc w:val="right"/>
              <w:rPr>
                <w:color w:val="000000"/>
                <w:szCs w:val="20"/>
              </w:rPr>
            </w:pPr>
            <w:r w:rsidRPr="00692490">
              <w:rPr>
                <w:color w:val="000000"/>
                <w:szCs w:val="20"/>
              </w:rPr>
              <w:t>-6.280.305</w:t>
            </w:r>
          </w:p>
        </w:tc>
      </w:tr>
      <w:tr w:rsidR="00692490" w:rsidRPr="00692490" w:rsidTr="00692490">
        <w:trPr>
          <w:trHeight w:val="315"/>
        </w:trPr>
        <w:tc>
          <w:tcPr>
            <w:tcW w:w="164" w:type="dxa"/>
            <w:tcBorders>
              <w:top w:val="nil"/>
              <w:left w:val="nil"/>
              <w:bottom w:val="nil"/>
              <w:right w:val="nil"/>
            </w:tcBorders>
            <w:shd w:val="clear" w:color="000000" w:fill="FFFFFF"/>
            <w:noWrap/>
            <w:hideMark/>
          </w:tcPr>
          <w:p w:rsidR="00692490" w:rsidRPr="00692490" w:rsidRDefault="00692490" w:rsidP="00692490">
            <w:pPr>
              <w:spacing w:line="240" w:lineRule="auto"/>
              <w:rPr>
                <w:color w:val="000000"/>
                <w:szCs w:val="20"/>
              </w:rPr>
            </w:pPr>
            <w:r w:rsidRPr="00692490">
              <w:rPr>
                <w:color w:val="000000"/>
                <w:szCs w:val="20"/>
              </w:rPr>
              <w:t> </w:t>
            </w:r>
          </w:p>
        </w:tc>
        <w:tc>
          <w:tcPr>
            <w:tcW w:w="3992" w:type="dxa"/>
            <w:tcBorders>
              <w:top w:val="nil"/>
              <w:left w:val="nil"/>
              <w:bottom w:val="nil"/>
              <w:right w:val="nil"/>
            </w:tcBorders>
            <w:shd w:val="clear" w:color="000000" w:fill="FFFFFF"/>
            <w:noWrap/>
            <w:hideMark/>
          </w:tcPr>
          <w:p w:rsidR="00692490" w:rsidRPr="00692490" w:rsidRDefault="00692490" w:rsidP="00692490">
            <w:pPr>
              <w:spacing w:line="240" w:lineRule="auto"/>
              <w:jc w:val="right"/>
              <w:rPr>
                <w:color w:val="000000"/>
                <w:szCs w:val="20"/>
              </w:rPr>
            </w:pPr>
            <w:r w:rsidRPr="00692490">
              <w:rPr>
                <w:color w:val="000000"/>
                <w:szCs w:val="20"/>
              </w:rPr>
              <w:t>Voorlopig netto resultaat</w:t>
            </w:r>
          </w:p>
        </w:tc>
        <w:tc>
          <w:tcPr>
            <w:tcW w:w="1576" w:type="dxa"/>
            <w:tcBorders>
              <w:top w:val="single" w:sz="4" w:space="0" w:color="auto"/>
              <w:left w:val="nil"/>
              <w:bottom w:val="double" w:sz="6" w:space="0" w:color="auto"/>
              <w:right w:val="nil"/>
            </w:tcBorders>
            <w:shd w:val="clear" w:color="000000" w:fill="FFFFFF"/>
            <w:noWrap/>
            <w:hideMark/>
          </w:tcPr>
          <w:p w:rsidR="00692490" w:rsidRPr="00692490" w:rsidRDefault="00692490" w:rsidP="00692490">
            <w:pPr>
              <w:spacing w:line="240" w:lineRule="auto"/>
              <w:jc w:val="right"/>
              <w:rPr>
                <w:color w:val="000000"/>
                <w:szCs w:val="20"/>
              </w:rPr>
            </w:pPr>
            <w:r w:rsidRPr="00692490">
              <w:rPr>
                <w:color w:val="000000"/>
                <w:szCs w:val="20"/>
              </w:rPr>
              <w:t>9.271.839</w:t>
            </w:r>
          </w:p>
        </w:tc>
      </w:tr>
    </w:tbl>
    <w:p w:rsidR="008604B9" w:rsidRDefault="008604B9" w:rsidP="008604B9">
      <w:pPr>
        <w:tabs>
          <w:tab w:val="right" w:pos="7380"/>
        </w:tabs>
        <w:rPr>
          <w:szCs w:val="20"/>
        </w:rPr>
      </w:pPr>
    </w:p>
    <w:p w:rsidR="008604B9" w:rsidRDefault="008604B9" w:rsidP="008604B9">
      <w:pPr>
        <w:tabs>
          <w:tab w:val="right" w:pos="7380"/>
        </w:tabs>
        <w:rPr>
          <w:b/>
        </w:rPr>
      </w:pPr>
      <w:r>
        <w:rPr>
          <w:szCs w:val="20"/>
        </w:rPr>
        <w:t xml:space="preserve">Het netto </w:t>
      </w:r>
      <w:r w:rsidRPr="00102E69">
        <w:rPr>
          <w:szCs w:val="20"/>
        </w:rPr>
        <w:t xml:space="preserve">besteedbaar resultaat van € </w:t>
      </w:r>
      <w:r w:rsidR="00692490">
        <w:rPr>
          <w:szCs w:val="20"/>
        </w:rPr>
        <w:t>9,3</w:t>
      </w:r>
      <w:r w:rsidRPr="00102E69">
        <w:rPr>
          <w:szCs w:val="20"/>
        </w:rPr>
        <w:t xml:space="preserve"> miljoen vloeit terug naar de algemene middelen</w:t>
      </w:r>
      <w:r w:rsidR="00B05FD8">
        <w:rPr>
          <w:szCs w:val="20"/>
        </w:rPr>
        <w:t>.</w:t>
      </w:r>
    </w:p>
    <w:p w:rsidR="008604B9" w:rsidRDefault="008604B9" w:rsidP="008604B9">
      <w:pPr>
        <w:rPr>
          <w:szCs w:val="20"/>
        </w:rPr>
      </w:pPr>
    </w:p>
    <w:p w:rsidR="008604B9" w:rsidRPr="00102E69" w:rsidRDefault="008604B9" w:rsidP="008604B9">
      <w:pPr>
        <w:tabs>
          <w:tab w:val="right" w:pos="7380"/>
        </w:tabs>
        <w:rPr>
          <w:i/>
          <w:szCs w:val="20"/>
        </w:rPr>
      </w:pPr>
      <w:r>
        <w:rPr>
          <w:i/>
          <w:szCs w:val="20"/>
        </w:rPr>
        <w:t>A /B Correcties i.v.m. e</w:t>
      </w:r>
      <w:r w:rsidRPr="00102E69">
        <w:rPr>
          <w:i/>
          <w:szCs w:val="20"/>
        </w:rPr>
        <w:t xml:space="preserve">xtra toevoegingen </w:t>
      </w:r>
      <w:r>
        <w:rPr>
          <w:i/>
          <w:szCs w:val="20"/>
        </w:rPr>
        <w:t xml:space="preserve">en onttrekkingen </w:t>
      </w:r>
      <w:r w:rsidRPr="00102E69">
        <w:rPr>
          <w:i/>
          <w:szCs w:val="20"/>
        </w:rPr>
        <w:t>aan reserves</w:t>
      </w:r>
      <w:r>
        <w:rPr>
          <w:i/>
          <w:szCs w:val="20"/>
        </w:rPr>
        <w:t>.</w:t>
      </w:r>
    </w:p>
    <w:p w:rsidR="008604B9" w:rsidRPr="00364003" w:rsidRDefault="008604B9" w:rsidP="008604B9">
      <w:pPr>
        <w:tabs>
          <w:tab w:val="right" w:pos="7380"/>
        </w:tabs>
        <w:rPr>
          <w:szCs w:val="20"/>
        </w:rPr>
      </w:pPr>
      <w:r w:rsidRPr="00E23638">
        <w:rPr>
          <w:szCs w:val="20"/>
        </w:rPr>
        <w:t>Zoals uit bovenstaande optelling blijkt, dient</w:t>
      </w:r>
      <w:r w:rsidRPr="00102E69">
        <w:rPr>
          <w:szCs w:val="20"/>
        </w:rPr>
        <w:t xml:space="preserve"> er nog rekening te worden </w:t>
      </w:r>
      <w:r w:rsidRPr="00364003">
        <w:rPr>
          <w:szCs w:val="20"/>
        </w:rPr>
        <w:t>gehouden met de noodzakelijke toevoegingen aan reserves tot een bedrag van € 13,</w:t>
      </w:r>
      <w:r w:rsidR="00945F69">
        <w:rPr>
          <w:szCs w:val="20"/>
        </w:rPr>
        <w:t>1</w:t>
      </w:r>
      <w:r w:rsidRPr="00364003">
        <w:rPr>
          <w:szCs w:val="20"/>
        </w:rPr>
        <w:t xml:space="preserve"> mln. Deze mutaties moeten op grond van eerdere besluitvorming nog plaatsvinden, maar konden niet meer in de ramingen van de begroting worden verwerkt. Ze konden daardoor formeel - vanwege regelgeving BBV - ook niet in de jaarstukken 2019 zelf worden geëffectueerd. Deze dotaties verwerken wij ten laste van het jaarrekeningresultaat.</w:t>
      </w:r>
    </w:p>
    <w:p w:rsidR="008604B9" w:rsidRPr="00364003" w:rsidRDefault="008604B9" w:rsidP="008604B9">
      <w:pPr>
        <w:tabs>
          <w:tab w:val="right" w:pos="7380"/>
        </w:tabs>
        <w:rPr>
          <w:szCs w:val="20"/>
        </w:rPr>
      </w:pPr>
    </w:p>
    <w:p w:rsidR="008604B9" w:rsidRPr="00364003" w:rsidRDefault="008604B9" w:rsidP="008604B9">
      <w:pPr>
        <w:tabs>
          <w:tab w:val="right" w:pos="7380"/>
        </w:tabs>
        <w:rPr>
          <w:szCs w:val="20"/>
        </w:rPr>
      </w:pPr>
      <w:r w:rsidRPr="00364003">
        <w:rPr>
          <w:szCs w:val="20"/>
        </w:rPr>
        <w:t>De extra onttrekkingen moeten nog plaatsvinden in 2020 tot een bedrag van € </w:t>
      </w:r>
      <w:r w:rsidR="00945F69">
        <w:rPr>
          <w:szCs w:val="20"/>
        </w:rPr>
        <w:t>5,1</w:t>
      </w:r>
      <w:r w:rsidRPr="00364003">
        <w:rPr>
          <w:szCs w:val="20"/>
        </w:rPr>
        <w:t> mln. Het gaat daarbij om hogere lasten die al in 2019 gerealiseerd zijn, maar waarbij de raming van de dekking uit de bijbehorende reserves niet op tijd meer in 2019 kon worden voorzien. De bijbehorende geraamde dekking uit de reserve dient in de begroting 2020 te worden gecorrigeerd.</w:t>
      </w:r>
    </w:p>
    <w:p w:rsidR="008604B9" w:rsidRDefault="008604B9" w:rsidP="008604B9">
      <w:pPr>
        <w:tabs>
          <w:tab w:val="right" w:pos="7380"/>
        </w:tabs>
        <w:rPr>
          <w:szCs w:val="20"/>
        </w:rPr>
      </w:pPr>
      <w:r w:rsidRPr="00364003">
        <w:rPr>
          <w:szCs w:val="20"/>
        </w:rPr>
        <w:t>Een</w:t>
      </w:r>
      <w:r>
        <w:rPr>
          <w:szCs w:val="20"/>
        </w:rPr>
        <w:t xml:space="preserve"> nadere specificatie van de extra toevoegingen en onttrekkingen is opgenomen in bijlage 2. </w:t>
      </w:r>
    </w:p>
    <w:p w:rsidR="008604B9" w:rsidRPr="00AF2F2E" w:rsidRDefault="008604B9" w:rsidP="008604B9">
      <w:pPr>
        <w:tabs>
          <w:tab w:val="right" w:pos="7380"/>
        </w:tabs>
        <w:rPr>
          <w:i/>
          <w:szCs w:val="20"/>
        </w:rPr>
      </w:pPr>
      <w:r w:rsidRPr="00AF2F2E">
        <w:rPr>
          <w:i/>
          <w:szCs w:val="20"/>
        </w:rPr>
        <w:t xml:space="preserve">U wordt gevraagd in te stemmen met deze </w:t>
      </w:r>
      <w:r>
        <w:rPr>
          <w:i/>
          <w:szCs w:val="20"/>
        </w:rPr>
        <w:t>mutaties in de reserves</w:t>
      </w:r>
      <w:r w:rsidRPr="00AF2F2E">
        <w:rPr>
          <w:i/>
          <w:szCs w:val="20"/>
        </w:rPr>
        <w:t>.</w:t>
      </w:r>
    </w:p>
    <w:p w:rsidR="008604B9" w:rsidRDefault="008604B9" w:rsidP="008604B9">
      <w:pPr>
        <w:tabs>
          <w:tab w:val="right" w:pos="7380"/>
        </w:tabs>
        <w:rPr>
          <w:szCs w:val="20"/>
        </w:rPr>
      </w:pPr>
    </w:p>
    <w:p w:rsidR="008604B9" w:rsidRDefault="008604B9" w:rsidP="008604B9">
      <w:pPr>
        <w:tabs>
          <w:tab w:val="right" w:pos="7380"/>
        </w:tabs>
        <w:rPr>
          <w:szCs w:val="20"/>
        </w:rPr>
      </w:pPr>
    </w:p>
    <w:p w:rsidR="008604B9" w:rsidRDefault="008604B9" w:rsidP="008604B9">
      <w:pPr>
        <w:tabs>
          <w:tab w:val="right" w:pos="7380"/>
        </w:tabs>
        <w:rPr>
          <w:i/>
          <w:szCs w:val="20"/>
        </w:rPr>
      </w:pPr>
      <w:r>
        <w:rPr>
          <w:i/>
          <w:szCs w:val="20"/>
        </w:rPr>
        <w:t>C/D Overhevelingen</w:t>
      </w:r>
    </w:p>
    <w:p w:rsidR="008604B9" w:rsidRPr="00E677DF" w:rsidRDefault="008604B9" w:rsidP="008604B9">
      <w:r w:rsidRPr="00E677DF">
        <w:t>Uw Staten hebben bij de Najaarsbrief 201</w:t>
      </w:r>
      <w:r>
        <w:t>1 het overhevelingenbeleid (zie </w:t>
      </w:r>
      <w:r w:rsidRPr="00E677DF">
        <w:t xml:space="preserve">bijlage </w:t>
      </w:r>
      <w:r>
        <w:t>3</w:t>
      </w:r>
      <w:r w:rsidRPr="00E677DF">
        <w:t xml:space="preserve">) vastgesteld. Dit beleid biedt ons college de mogelijkheid om binnen de door uw Staten gestelde kaders geplande prestaties en daaraan gekoppelde middelen over te hevelen naar een volgend begrotingsjaar, zodat de uitvoering zonder </w:t>
      </w:r>
      <w:r>
        <w:t>verdere vertraging plaats kan vi</w:t>
      </w:r>
      <w:r w:rsidRPr="00E677DF">
        <w:t>nden.</w:t>
      </w:r>
    </w:p>
    <w:p w:rsidR="008604B9" w:rsidRPr="00E677DF" w:rsidRDefault="008604B9" w:rsidP="008604B9">
      <w:pPr>
        <w:autoSpaceDE w:val="0"/>
        <w:autoSpaceDN w:val="0"/>
        <w:adjustRightInd w:val="0"/>
        <w:spacing w:line="284" w:lineRule="exact"/>
      </w:pPr>
      <w:r w:rsidRPr="00E677DF">
        <w:t xml:space="preserve">Zonder overhevelingsregels is het zo dat, indien er vertraging optreedt in de uitvoering van jaar ‘t’ geplande prestaties, de voor die prestatie geraamde middelen via het rekeningresultaat zouden vrijvallen naar algemene middelen. Om extra vertraging in de realisatie van beleidsprestaties te voorkomen is door PS het </w:t>
      </w:r>
      <w:r w:rsidRPr="003D77A4">
        <w:t>overhevelingenbeleid vastgesteld. Als overhevelingsvoorstellen binnen de kaders van het overhevelingenbeleid vallen – zoals bijvoorbeeld resterende bestuur</w:t>
      </w:r>
      <w:r>
        <w:t>s</w:t>
      </w:r>
      <w:r w:rsidRPr="003D77A4">
        <w:t>akkoordmiddelen - dan kunnen GS de uitvoering hiervan voortzetten. De overhevelingen</w:t>
      </w:r>
      <w:r w:rsidRPr="00E677DF">
        <w:t xml:space="preserve"> worden bij het Statenvoorstel tot vaststelling van de jaarrekening ter besluitvorming aan PS voorgelegd.</w:t>
      </w:r>
    </w:p>
    <w:p w:rsidR="008604B9" w:rsidRPr="00E677DF" w:rsidRDefault="008604B9" w:rsidP="008604B9">
      <w:r w:rsidRPr="00E677DF">
        <w:t xml:space="preserve"> </w:t>
      </w:r>
    </w:p>
    <w:p w:rsidR="008604B9" w:rsidRDefault="008604B9" w:rsidP="008604B9">
      <w:r w:rsidRPr="00E677DF">
        <w:t>Binnen deze kaders stellen wij voor de onderstaande prestaties met daaraan gekoppelde bedragen over te hevelen van 201</w:t>
      </w:r>
      <w:r>
        <w:t>9</w:t>
      </w:r>
      <w:r w:rsidRPr="00E677DF">
        <w:t xml:space="preserve"> naar 20</w:t>
      </w:r>
      <w:r>
        <w:t>20</w:t>
      </w:r>
      <w:r w:rsidRPr="00E677DF">
        <w:t xml:space="preserve"> e.v.</w:t>
      </w:r>
      <w:r>
        <w:t xml:space="preserve"> jaren</w:t>
      </w:r>
      <w:r w:rsidRPr="00E677DF">
        <w:t>.</w:t>
      </w:r>
    </w:p>
    <w:p w:rsidR="008604B9" w:rsidRDefault="008604B9" w:rsidP="008604B9"/>
    <w:tbl>
      <w:tblPr>
        <w:tblW w:w="6972" w:type="dxa"/>
        <w:tblCellMar>
          <w:left w:w="70" w:type="dxa"/>
          <w:right w:w="70" w:type="dxa"/>
        </w:tblCellMar>
        <w:tblLook w:val="04A0" w:firstRow="1" w:lastRow="0" w:firstColumn="1" w:lastColumn="0" w:noHBand="0" w:noVBand="1"/>
      </w:tblPr>
      <w:tblGrid>
        <w:gridCol w:w="252"/>
        <w:gridCol w:w="5624"/>
        <w:gridCol w:w="1140"/>
      </w:tblGrid>
      <w:tr w:rsidR="00692490" w:rsidRPr="00692490" w:rsidTr="00692490">
        <w:trPr>
          <w:trHeight w:val="285"/>
          <w:tblHeader/>
        </w:trPr>
        <w:tc>
          <w:tcPr>
            <w:tcW w:w="5876" w:type="dxa"/>
            <w:gridSpan w:val="2"/>
            <w:tcBorders>
              <w:top w:val="single" w:sz="4" w:space="0" w:color="auto"/>
              <w:left w:val="nil"/>
              <w:bottom w:val="nil"/>
              <w:right w:val="nil"/>
            </w:tcBorders>
            <w:shd w:val="clear" w:color="000000" w:fill="FFFFFF"/>
            <w:noWrap/>
            <w:hideMark/>
          </w:tcPr>
          <w:p w:rsidR="00692490" w:rsidRPr="00692490" w:rsidRDefault="00692490" w:rsidP="00692490">
            <w:pPr>
              <w:spacing w:line="240" w:lineRule="auto"/>
              <w:rPr>
                <w:color w:val="000000"/>
                <w:sz w:val="18"/>
                <w:szCs w:val="18"/>
              </w:rPr>
            </w:pPr>
            <w:r w:rsidRPr="00692490">
              <w:rPr>
                <w:color w:val="000000"/>
                <w:sz w:val="18"/>
                <w:szCs w:val="18"/>
              </w:rPr>
              <w:t>Overhevelingsvoorstellen</w:t>
            </w:r>
          </w:p>
        </w:tc>
        <w:tc>
          <w:tcPr>
            <w:tcW w:w="1096" w:type="dxa"/>
            <w:tcBorders>
              <w:top w:val="single" w:sz="4" w:space="0" w:color="auto"/>
              <w:left w:val="nil"/>
              <w:bottom w:val="nil"/>
              <w:right w:val="nil"/>
            </w:tcBorders>
            <w:shd w:val="clear" w:color="000000" w:fill="FFFFFF"/>
            <w:noWrap/>
            <w:hideMark/>
          </w:tcPr>
          <w:p w:rsidR="00692490" w:rsidRPr="00692490" w:rsidRDefault="00692490" w:rsidP="00692490">
            <w:pPr>
              <w:spacing w:line="240" w:lineRule="auto"/>
              <w:rPr>
                <w:color w:val="000000"/>
                <w:sz w:val="18"/>
                <w:szCs w:val="18"/>
              </w:rPr>
            </w:pPr>
            <w:r w:rsidRPr="00692490">
              <w:rPr>
                <w:color w:val="000000"/>
                <w:sz w:val="18"/>
                <w:szCs w:val="18"/>
              </w:rPr>
              <w:t> </w:t>
            </w:r>
          </w:p>
        </w:tc>
      </w:tr>
      <w:tr w:rsidR="00692490" w:rsidRPr="00692490" w:rsidTr="00692490">
        <w:trPr>
          <w:trHeight w:val="300"/>
          <w:tblHeader/>
        </w:trPr>
        <w:tc>
          <w:tcPr>
            <w:tcW w:w="5876" w:type="dxa"/>
            <w:gridSpan w:val="2"/>
            <w:tcBorders>
              <w:top w:val="nil"/>
              <w:left w:val="nil"/>
              <w:bottom w:val="single" w:sz="8" w:space="0" w:color="auto"/>
              <w:right w:val="nil"/>
            </w:tcBorders>
            <w:shd w:val="clear" w:color="000000" w:fill="FFFFFF"/>
            <w:noWrap/>
            <w:hideMark/>
          </w:tcPr>
          <w:p w:rsidR="00692490" w:rsidRPr="00692490" w:rsidRDefault="00692490" w:rsidP="00692490">
            <w:pPr>
              <w:spacing w:line="240" w:lineRule="auto"/>
              <w:rPr>
                <w:color w:val="000000"/>
                <w:sz w:val="18"/>
                <w:szCs w:val="18"/>
              </w:rPr>
            </w:pPr>
            <w:r w:rsidRPr="00692490">
              <w:rPr>
                <w:color w:val="000000"/>
                <w:sz w:val="18"/>
                <w:szCs w:val="18"/>
              </w:rPr>
              <w:t xml:space="preserve">Programma </w:t>
            </w:r>
          </w:p>
        </w:tc>
        <w:tc>
          <w:tcPr>
            <w:tcW w:w="1096" w:type="dxa"/>
            <w:tcBorders>
              <w:top w:val="nil"/>
              <w:left w:val="nil"/>
              <w:bottom w:val="single" w:sz="8" w:space="0" w:color="auto"/>
              <w:right w:val="nil"/>
            </w:tcBorders>
            <w:shd w:val="clear" w:color="000000" w:fill="FFFFFF"/>
            <w:noWrap/>
            <w:hideMark/>
          </w:tcPr>
          <w:p w:rsidR="00692490" w:rsidRPr="00692490" w:rsidRDefault="00692490" w:rsidP="00692490">
            <w:pPr>
              <w:spacing w:line="240" w:lineRule="auto"/>
              <w:jc w:val="center"/>
              <w:rPr>
                <w:color w:val="000000"/>
                <w:sz w:val="18"/>
                <w:szCs w:val="18"/>
              </w:rPr>
            </w:pPr>
            <w:r w:rsidRPr="00692490">
              <w:rPr>
                <w:color w:val="000000"/>
                <w:sz w:val="18"/>
                <w:szCs w:val="18"/>
              </w:rPr>
              <w:t>€</w:t>
            </w:r>
          </w:p>
        </w:tc>
      </w:tr>
      <w:tr w:rsidR="00692490" w:rsidRPr="00692490" w:rsidTr="00692490">
        <w:trPr>
          <w:trHeight w:val="285"/>
        </w:trPr>
        <w:tc>
          <w:tcPr>
            <w:tcW w:w="173" w:type="dxa"/>
            <w:tcBorders>
              <w:top w:val="nil"/>
              <w:left w:val="nil"/>
              <w:bottom w:val="nil"/>
              <w:right w:val="nil"/>
            </w:tcBorders>
            <w:shd w:val="clear" w:color="000000" w:fill="FFFFFF"/>
            <w:noWrap/>
            <w:hideMark/>
          </w:tcPr>
          <w:p w:rsidR="00692490" w:rsidRPr="00692490" w:rsidRDefault="00692490" w:rsidP="00692490">
            <w:pPr>
              <w:spacing w:line="240" w:lineRule="auto"/>
              <w:rPr>
                <w:color w:val="000000"/>
                <w:sz w:val="18"/>
                <w:szCs w:val="18"/>
              </w:rPr>
            </w:pPr>
            <w:r w:rsidRPr="00692490">
              <w:rPr>
                <w:color w:val="000000"/>
                <w:sz w:val="18"/>
                <w:szCs w:val="18"/>
              </w:rPr>
              <w:t>1</w:t>
            </w:r>
          </w:p>
        </w:tc>
        <w:tc>
          <w:tcPr>
            <w:tcW w:w="5703" w:type="dxa"/>
            <w:tcBorders>
              <w:top w:val="nil"/>
              <w:left w:val="nil"/>
              <w:bottom w:val="nil"/>
              <w:right w:val="nil"/>
            </w:tcBorders>
            <w:shd w:val="clear" w:color="000000" w:fill="FFFFFF"/>
            <w:hideMark/>
          </w:tcPr>
          <w:p w:rsidR="00692490" w:rsidRPr="00692490" w:rsidRDefault="00692490" w:rsidP="00692490">
            <w:pPr>
              <w:spacing w:line="240" w:lineRule="auto"/>
              <w:rPr>
                <w:sz w:val="18"/>
                <w:szCs w:val="18"/>
              </w:rPr>
            </w:pPr>
            <w:r w:rsidRPr="00692490">
              <w:rPr>
                <w:sz w:val="18"/>
                <w:szCs w:val="18"/>
              </w:rPr>
              <w:t>Bestuur en veiligheid</w:t>
            </w:r>
          </w:p>
        </w:tc>
        <w:tc>
          <w:tcPr>
            <w:tcW w:w="1096" w:type="dxa"/>
            <w:tcBorders>
              <w:top w:val="nil"/>
              <w:left w:val="nil"/>
              <w:bottom w:val="nil"/>
              <w:right w:val="nil"/>
            </w:tcBorders>
            <w:shd w:val="clear" w:color="000000" w:fill="FFFFFF"/>
            <w:noWrap/>
            <w:hideMark/>
          </w:tcPr>
          <w:p w:rsidR="00692490" w:rsidRPr="00692490" w:rsidRDefault="00692490" w:rsidP="00692490">
            <w:pPr>
              <w:spacing w:line="240" w:lineRule="auto"/>
              <w:rPr>
                <w:color w:val="000000"/>
                <w:sz w:val="18"/>
                <w:szCs w:val="18"/>
              </w:rPr>
            </w:pPr>
            <w:r w:rsidRPr="00692490">
              <w:rPr>
                <w:color w:val="000000"/>
                <w:sz w:val="18"/>
                <w:szCs w:val="18"/>
              </w:rPr>
              <w:t> </w:t>
            </w:r>
          </w:p>
        </w:tc>
      </w:tr>
      <w:tr w:rsidR="00692490" w:rsidRPr="00692490" w:rsidTr="00692490">
        <w:trPr>
          <w:trHeight w:val="285"/>
        </w:trPr>
        <w:tc>
          <w:tcPr>
            <w:tcW w:w="173" w:type="dxa"/>
            <w:tcBorders>
              <w:top w:val="nil"/>
              <w:left w:val="nil"/>
              <w:bottom w:val="nil"/>
              <w:right w:val="nil"/>
            </w:tcBorders>
            <w:shd w:val="clear" w:color="000000" w:fill="FFFFFF"/>
            <w:noWrap/>
            <w:hideMark/>
          </w:tcPr>
          <w:p w:rsidR="00692490" w:rsidRPr="00692490" w:rsidRDefault="00692490" w:rsidP="00692490">
            <w:pPr>
              <w:spacing w:line="240" w:lineRule="auto"/>
              <w:rPr>
                <w:color w:val="000000"/>
                <w:sz w:val="18"/>
                <w:szCs w:val="18"/>
              </w:rPr>
            </w:pPr>
            <w:r w:rsidRPr="00692490">
              <w:rPr>
                <w:color w:val="000000"/>
                <w:sz w:val="18"/>
                <w:szCs w:val="18"/>
              </w:rPr>
              <w:t> </w:t>
            </w:r>
          </w:p>
        </w:tc>
        <w:tc>
          <w:tcPr>
            <w:tcW w:w="5703" w:type="dxa"/>
            <w:tcBorders>
              <w:top w:val="nil"/>
              <w:left w:val="nil"/>
              <w:bottom w:val="nil"/>
              <w:right w:val="nil"/>
            </w:tcBorders>
            <w:shd w:val="clear" w:color="000000" w:fill="FFFFFF"/>
            <w:hideMark/>
          </w:tcPr>
          <w:p w:rsidR="00692490" w:rsidRPr="00692490" w:rsidRDefault="00692490" w:rsidP="00692490">
            <w:pPr>
              <w:spacing w:line="240" w:lineRule="auto"/>
              <w:rPr>
                <w:sz w:val="18"/>
                <w:szCs w:val="18"/>
              </w:rPr>
            </w:pPr>
            <w:r w:rsidRPr="00692490">
              <w:rPr>
                <w:sz w:val="18"/>
                <w:szCs w:val="18"/>
              </w:rPr>
              <w:t>Brabantstad</w:t>
            </w:r>
          </w:p>
        </w:tc>
        <w:tc>
          <w:tcPr>
            <w:tcW w:w="1096" w:type="dxa"/>
            <w:tcBorders>
              <w:top w:val="nil"/>
              <w:left w:val="nil"/>
              <w:bottom w:val="nil"/>
              <w:right w:val="nil"/>
            </w:tcBorders>
            <w:shd w:val="clear" w:color="000000" w:fill="FFFFFF"/>
            <w:noWrap/>
            <w:hideMark/>
          </w:tcPr>
          <w:p w:rsidR="00692490" w:rsidRPr="00692490" w:rsidRDefault="00692490" w:rsidP="00692490">
            <w:pPr>
              <w:spacing w:line="240" w:lineRule="auto"/>
              <w:jc w:val="right"/>
              <w:rPr>
                <w:color w:val="000000"/>
                <w:sz w:val="18"/>
                <w:szCs w:val="18"/>
              </w:rPr>
            </w:pPr>
            <w:r w:rsidRPr="00692490">
              <w:rPr>
                <w:color w:val="000000"/>
                <w:sz w:val="18"/>
                <w:szCs w:val="18"/>
              </w:rPr>
              <w:t>89.478</w:t>
            </w:r>
          </w:p>
        </w:tc>
      </w:tr>
      <w:tr w:rsidR="00692490" w:rsidRPr="00692490" w:rsidTr="00692490">
        <w:trPr>
          <w:trHeight w:val="285"/>
        </w:trPr>
        <w:tc>
          <w:tcPr>
            <w:tcW w:w="173" w:type="dxa"/>
            <w:tcBorders>
              <w:top w:val="nil"/>
              <w:left w:val="nil"/>
              <w:bottom w:val="nil"/>
              <w:right w:val="nil"/>
            </w:tcBorders>
            <w:shd w:val="clear" w:color="000000" w:fill="FFFFFF"/>
            <w:noWrap/>
            <w:hideMark/>
          </w:tcPr>
          <w:p w:rsidR="00692490" w:rsidRPr="00692490" w:rsidRDefault="00692490" w:rsidP="00692490">
            <w:pPr>
              <w:spacing w:line="240" w:lineRule="auto"/>
              <w:rPr>
                <w:color w:val="000000"/>
                <w:sz w:val="18"/>
                <w:szCs w:val="18"/>
              </w:rPr>
            </w:pPr>
            <w:r w:rsidRPr="00692490">
              <w:rPr>
                <w:color w:val="000000"/>
                <w:sz w:val="18"/>
                <w:szCs w:val="18"/>
              </w:rPr>
              <w:t> </w:t>
            </w:r>
          </w:p>
        </w:tc>
        <w:tc>
          <w:tcPr>
            <w:tcW w:w="5703" w:type="dxa"/>
            <w:tcBorders>
              <w:top w:val="nil"/>
              <w:left w:val="nil"/>
              <w:bottom w:val="nil"/>
              <w:right w:val="nil"/>
            </w:tcBorders>
            <w:shd w:val="clear" w:color="000000" w:fill="FFFFFF"/>
            <w:hideMark/>
          </w:tcPr>
          <w:p w:rsidR="00692490" w:rsidRPr="00692490" w:rsidRDefault="00692490" w:rsidP="00692490">
            <w:pPr>
              <w:spacing w:line="240" w:lineRule="auto"/>
              <w:rPr>
                <w:sz w:val="18"/>
                <w:szCs w:val="18"/>
              </w:rPr>
            </w:pPr>
            <w:r w:rsidRPr="00692490">
              <w:rPr>
                <w:sz w:val="18"/>
                <w:szCs w:val="18"/>
              </w:rPr>
              <w:t>Veiligheid</w:t>
            </w:r>
          </w:p>
        </w:tc>
        <w:tc>
          <w:tcPr>
            <w:tcW w:w="1096" w:type="dxa"/>
            <w:tcBorders>
              <w:top w:val="nil"/>
              <w:left w:val="nil"/>
              <w:bottom w:val="nil"/>
              <w:right w:val="nil"/>
            </w:tcBorders>
            <w:shd w:val="clear" w:color="000000" w:fill="FFFFFF"/>
            <w:noWrap/>
            <w:hideMark/>
          </w:tcPr>
          <w:p w:rsidR="00692490" w:rsidRPr="00692490" w:rsidRDefault="00692490" w:rsidP="00692490">
            <w:pPr>
              <w:spacing w:line="240" w:lineRule="auto"/>
              <w:jc w:val="right"/>
              <w:rPr>
                <w:color w:val="000000"/>
                <w:sz w:val="18"/>
                <w:szCs w:val="18"/>
              </w:rPr>
            </w:pPr>
            <w:r w:rsidRPr="00692490">
              <w:rPr>
                <w:color w:val="000000"/>
                <w:sz w:val="18"/>
                <w:szCs w:val="18"/>
              </w:rPr>
              <w:t>235.398</w:t>
            </w:r>
          </w:p>
        </w:tc>
      </w:tr>
      <w:tr w:rsidR="00692490" w:rsidRPr="00692490" w:rsidTr="00692490">
        <w:trPr>
          <w:trHeight w:val="285"/>
        </w:trPr>
        <w:tc>
          <w:tcPr>
            <w:tcW w:w="173" w:type="dxa"/>
            <w:tcBorders>
              <w:top w:val="nil"/>
              <w:left w:val="nil"/>
              <w:bottom w:val="nil"/>
              <w:right w:val="nil"/>
            </w:tcBorders>
            <w:shd w:val="clear" w:color="000000" w:fill="FFFFFF"/>
            <w:noWrap/>
            <w:hideMark/>
          </w:tcPr>
          <w:p w:rsidR="00692490" w:rsidRPr="00692490" w:rsidRDefault="00692490" w:rsidP="00692490">
            <w:pPr>
              <w:spacing w:line="240" w:lineRule="auto"/>
              <w:rPr>
                <w:color w:val="000000"/>
                <w:sz w:val="18"/>
                <w:szCs w:val="18"/>
              </w:rPr>
            </w:pPr>
            <w:r w:rsidRPr="00692490">
              <w:rPr>
                <w:color w:val="000000"/>
                <w:sz w:val="18"/>
                <w:szCs w:val="18"/>
              </w:rPr>
              <w:t> </w:t>
            </w:r>
          </w:p>
        </w:tc>
        <w:tc>
          <w:tcPr>
            <w:tcW w:w="5703" w:type="dxa"/>
            <w:tcBorders>
              <w:top w:val="nil"/>
              <w:left w:val="nil"/>
              <w:bottom w:val="nil"/>
              <w:right w:val="nil"/>
            </w:tcBorders>
            <w:shd w:val="clear" w:color="000000" w:fill="FFFFFF"/>
            <w:hideMark/>
          </w:tcPr>
          <w:p w:rsidR="00692490" w:rsidRPr="00692490" w:rsidRDefault="00692490" w:rsidP="00692490">
            <w:pPr>
              <w:spacing w:line="240" w:lineRule="auto"/>
              <w:rPr>
                <w:sz w:val="18"/>
                <w:szCs w:val="18"/>
              </w:rPr>
            </w:pPr>
            <w:r w:rsidRPr="00692490">
              <w:rPr>
                <w:sz w:val="18"/>
                <w:szCs w:val="18"/>
              </w:rPr>
              <w:t>Vlaams Nederlandse Delta</w:t>
            </w:r>
          </w:p>
        </w:tc>
        <w:tc>
          <w:tcPr>
            <w:tcW w:w="1096" w:type="dxa"/>
            <w:tcBorders>
              <w:top w:val="nil"/>
              <w:left w:val="nil"/>
              <w:bottom w:val="nil"/>
              <w:right w:val="nil"/>
            </w:tcBorders>
            <w:shd w:val="clear" w:color="000000" w:fill="FFFFFF"/>
            <w:noWrap/>
            <w:hideMark/>
          </w:tcPr>
          <w:p w:rsidR="00692490" w:rsidRPr="00692490" w:rsidRDefault="00692490" w:rsidP="00692490">
            <w:pPr>
              <w:spacing w:line="240" w:lineRule="auto"/>
              <w:jc w:val="right"/>
              <w:rPr>
                <w:color w:val="000000"/>
                <w:sz w:val="18"/>
                <w:szCs w:val="18"/>
              </w:rPr>
            </w:pPr>
            <w:r w:rsidRPr="00692490">
              <w:rPr>
                <w:color w:val="000000"/>
                <w:sz w:val="18"/>
                <w:szCs w:val="18"/>
              </w:rPr>
              <w:t>127.390</w:t>
            </w:r>
          </w:p>
        </w:tc>
      </w:tr>
      <w:tr w:rsidR="00692490" w:rsidRPr="00692490" w:rsidTr="00692490">
        <w:trPr>
          <w:trHeight w:val="285"/>
        </w:trPr>
        <w:tc>
          <w:tcPr>
            <w:tcW w:w="173" w:type="dxa"/>
            <w:tcBorders>
              <w:top w:val="nil"/>
              <w:left w:val="nil"/>
              <w:bottom w:val="nil"/>
              <w:right w:val="nil"/>
            </w:tcBorders>
            <w:shd w:val="clear" w:color="000000" w:fill="FFFFFF"/>
            <w:noWrap/>
            <w:hideMark/>
          </w:tcPr>
          <w:p w:rsidR="00692490" w:rsidRPr="00692490" w:rsidRDefault="00692490" w:rsidP="00692490">
            <w:pPr>
              <w:spacing w:line="240" w:lineRule="auto"/>
              <w:rPr>
                <w:color w:val="000000"/>
                <w:sz w:val="18"/>
                <w:szCs w:val="18"/>
              </w:rPr>
            </w:pPr>
            <w:r w:rsidRPr="00692490">
              <w:rPr>
                <w:color w:val="000000"/>
                <w:sz w:val="18"/>
                <w:szCs w:val="18"/>
              </w:rPr>
              <w:t> </w:t>
            </w:r>
          </w:p>
        </w:tc>
        <w:tc>
          <w:tcPr>
            <w:tcW w:w="5703" w:type="dxa"/>
            <w:tcBorders>
              <w:top w:val="nil"/>
              <w:left w:val="nil"/>
              <w:bottom w:val="nil"/>
              <w:right w:val="nil"/>
            </w:tcBorders>
            <w:shd w:val="clear" w:color="000000" w:fill="FFFFFF"/>
            <w:hideMark/>
          </w:tcPr>
          <w:p w:rsidR="00692490" w:rsidRPr="00692490" w:rsidRDefault="00692490" w:rsidP="00692490">
            <w:pPr>
              <w:spacing w:line="240" w:lineRule="auto"/>
              <w:rPr>
                <w:sz w:val="18"/>
                <w:szCs w:val="18"/>
              </w:rPr>
            </w:pPr>
            <w:r w:rsidRPr="00692490">
              <w:rPr>
                <w:sz w:val="18"/>
                <w:szCs w:val="18"/>
              </w:rPr>
              <w:t> </w:t>
            </w:r>
          </w:p>
        </w:tc>
        <w:tc>
          <w:tcPr>
            <w:tcW w:w="1096" w:type="dxa"/>
            <w:tcBorders>
              <w:top w:val="nil"/>
              <w:left w:val="nil"/>
              <w:bottom w:val="nil"/>
              <w:right w:val="nil"/>
            </w:tcBorders>
            <w:shd w:val="clear" w:color="000000" w:fill="FFFFFF"/>
            <w:noWrap/>
            <w:hideMark/>
          </w:tcPr>
          <w:p w:rsidR="00692490" w:rsidRPr="00692490" w:rsidRDefault="00692490" w:rsidP="00692490">
            <w:pPr>
              <w:spacing w:line="240" w:lineRule="auto"/>
              <w:rPr>
                <w:color w:val="000000"/>
                <w:sz w:val="18"/>
                <w:szCs w:val="18"/>
              </w:rPr>
            </w:pPr>
            <w:r w:rsidRPr="00692490">
              <w:rPr>
                <w:color w:val="000000"/>
                <w:sz w:val="18"/>
                <w:szCs w:val="18"/>
              </w:rPr>
              <w:t> </w:t>
            </w:r>
          </w:p>
        </w:tc>
      </w:tr>
      <w:tr w:rsidR="00692490" w:rsidRPr="00692490" w:rsidTr="00692490">
        <w:trPr>
          <w:trHeight w:val="285"/>
        </w:trPr>
        <w:tc>
          <w:tcPr>
            <w:tcW w:w="173" w:type="dxa"/>
            <w:tcBorders>
              <w:top w:val="nil"/>
              <w:left w:val="nil"/>
              <w:bottom w:val="nil"/>
              <w:right w:val="nil"/>
            </w:tcBorders>
            <w:shd w:val="clear" w:color="000000" w:fill="FFFFFF"/>
            <w:noWrap/>
            <w:hideMark/>
          </w:tcPr>
          <w:p w:rsidR="00692490" w:rsidRPr="00692490" w:rsidRDefault="00692490" w:rsidP="00692490">
            <w:pPr>
              <w:spacing w:line="240" w:lineRule="auto"/>
              <w:rPr>
                <w:color w:val="000000"/>
                <w:sz w:val="18"/>
                <w:szCs w:val="18"/>
              </w:rPr>
            </w:pPr>
            <w:r w:rsidRPr="00692490">
              <w:rPr>
                <w:color w:val="000000"/>
                <w:sz w:val="18"/>
                <w:szCs w:val="18"/>
              </w:rPr>
              <w:t>2</w:t>
            </w:r>
          </w:p>
        </w:tc>
        <w:tc>
          <w:tcPr>
            <w:tcW w:w="5703" w:type="dxa"/>
            <w:tcBorders>
              <w:top w:val="nil"/>
              <w:left w:val="nil"/>
              <w:bottom w:val="nil"/>
              <w:right w:val="nil"/>
            </w:tcBorders>
            <w:shd w:val="clear" w:color="000000" w:fill="FFFFFF"/>
            <w:hideMark/>
          </w:tcPr>
          <w:p w:rsidR="00692490" w:rsidRPr="00692490" w:rsidRDefault="00692490" w:rsidP="00692490">
            <w:pPr>
              <w:spacing w:line="240" w:lineRule="auto"/>
              <w:rPr>
                <w:sz w:val="18"/>
                <w:szCs w:val="18"/>
              </w:rPr>
            </w:pPr>
            <w:r w:rsidRPr="00692490">
              <w:rPr>
                <w:sz w:val="18"/>
                <w:szCs w:val="18"/>
              </w:rPr>
              <w:t>Ruimte en wonen</w:t>
            </w:r>
          </w:p>
        </w:tc>
        <w:tc>
          <w:tcPr>
            <w:tcW w:w="1096" w:type="dxa"/>
            <w:tcBorders>
              <w:top w:val="nil"/>
              <w:left w:val="nil"/>
              <w:bottom w:val="nil"/>
              <w:right w:val="nil"/>
            </w:tcBorders>
            <w:shd w:val="clear" w:color="000000" w:fill="FFFFFF"/>
            <w:noWrap/>
            <w:hideMark/>
          </w:tcPr>
          <w:p w:rsidR="00692490" w:rsidRPr="00692490" w:rsidRDefault="00692490" w:rsidP="00692490">
            <w:pPr>
              <w:spacing w:line="240" w:lineRule="auto"/>
              <w:rPr>
                <w:color w:val="000000"/>
                <w:sz w:val="18"/>
                <w:szCs w:val="18"/>
              </w:rPr>
            </w:pPr>
            <w:r w:rsidRPr="00692490">
              <w:rPr>
                <w:color w:val="000000"/>
                <w:sz w:val="18"/>
                <w:szCs w:val="18"/>
              </w:rPr>
              <w:t> </w:t>
            </w:r>
          </w:p>
        </w:tc>
      </w:tr>
      <w:tr w:rsidR="00692490" w:rsidRPr="00692490" w:rsidTr="00692490">
        <w:trPr>
          <w:trHeight w:val="285"/>
        </w:trPr>
        <w:tc>
          <w:tcPr>
            <w:tcW w:w="173" w:type="dxa"/>
            <w:tcBorders>
              <w:top w:val="nil"/>
              <w:left w:val="nil"/>
              <w:bottom w:val="nil"/>
              <w:right w:val="nil"/>
            </w:tcBorders>
            <w:shd w:val="clear" w:color="000000" w:fill="FFFFFF"/>
            <w:noWrap/>
            <w:hideMark/>
          </w:tcPr>
          <w:p w:rsidR="00692490" w:rsidRPr="00692490" w:rsidRDefault="00692490" w:rsidP="00692490">
            <w:pPr>
              <w:spacing w:line="240" w:lineRule="auto"/>
              <w:rPr>
                <w:color w:val="000000"/>
                <w:sz w:val="18"/>
                <w:szCs w:val="18"/>
              </w:rPr>
            </w:pPr>
            <w:r w:rsidRPr="00692490">
              <w:rPr>
                <w:color w:val="000000"/>
                <w:sz w:val="18"/>
                <w:szCs w:val="18"/>
              </w:rPr>
              <w:t> </w:t>
            </w:r>
          </w:p>
        </w:tc>
        <w:tc>
          <w:tcPr>
            <w:tcW w:w="5703" w:type="dxa"/>
            <w:tcBorders>
              <w:top w:val="nil"/>
              <w:left w:val="nil"/>
              <w:bottom w:val="nil"/>
              <w:right w:val="nil"/>
            </w:tcBorders>
            <w:shd w:val="clear" w:color="000000" w:fill="FFFFFF"/>
            <w:hideMark/>
          </w:tcPr>
          <w:p w:rsidR="00692490" w:rsidRPr="00692490" w:rsidRDefault="00692490" w:rsidP="00692490">
            <w:pPr>
              <w:spacing w:line="240" w:lineRule="auto"/>
              <w:rPr>
                <w:sz w:val="18"/>
                <w:szCs w:val="18"/>
              </w:rPr>
            </w:pPr>
            <w:r w:rsidRPr="00692490">
              <w:rPr>
                <w:sz w:val="18"/>
                <w:szCs w:val="18"/>
              </w:rPr>
              <w:t>Amendement lokale journalistiek</w:t>
            </w:r>
          </w:p>
        </w:tc>
        <w:tc>
          <w:tcPr>
            <w:tcW w:w="1096" w:type="dxa"/>
            <w:tcBorders>
              <w:top w:val="nil"/>
              <w:left w:val="nil"/>
              <w:bottom w:val="nil"/>
              <w:right w:val="nil"/>
            </w:tcBorders>
            <w:shd w:val="clear" w:color="000000" w:fill="FFFFFF"/>
            <w:noWrap/>
            <w:hideMark/>
          </w:tcPr>
          <w:p w:rsidR="00692490" w:rsidRPr="00692490" w:rsidRDefault="00692490" w:rsidP="00692490">
            <w:pPr>
              <w:spacing w:line="240" w:lineRule="auto"/>
              <w:jc w:val="right"/>
              <w:rPr>
                <w:color w:val="000000"/>
                <w:sz w:val="18"/>
                <w:szCs w:val="18"/>
              </w:rPr>
            </w:pPr>
            <w:r w:rsidRPr="00692490">
              <w:rPr>
                <w:color w:val="000000"/>
                <w:sz w:val="18"/>
                <w:szCs w:val="18"/>
              </w:rPr>
              <w:t>75.000</w:t>
            </w:r>
          </w:p>
        </w:tc>
      </w:tr>
      <w:tr w:rsidR="00692490" w:rsidRPr="00692490" w:rsidTr="00692490">
        <w:trPr>
          <w:trHeight w:val="285"/>
        </w:trPr>
        <w:tc>
          <w:tcPr>
            <w:tcW w:w="173" w:type="dxa"/>
            <w:tcBorders>
              <w:top w:val="nil"/>
              <w:left w:val="nil"/>
              <w:bottom w:val="nil"/>
              <w:right w:val="nil"/>
            </w:tcBorders>
            <w:shd w:val="clear" w:color="000000" w:fill="FFFFFF"/>
            <w:noWrap/>
            <w:hideMark/>
          </w:tcPr>
          <w:p w:rsidR="00692490" w:rsidRPr="00692490" w:rsidRDefault="00692490" w:rsidP="00692490">
            <w:pPr>
              <w:spacing w:line="240" w:lineRule="auto"/>
              <w:rPr>
                <w:color w:val="000000"/>
                <w:sz w:val="18"/>
                <w:szCs w:val="18"/>
              </w:rPr>
            </w:pPr>
            <w:r w:rsidRPr="00692490">
              <w:rPr>
                <w:color w:val="000000"/>
                <w:sz w:val="18"/>
                <w:szCs w:val="18"/>
              </w:rPr>
              <w:t> </w:t>
            </w:r>
          </w:p>
        </w:tc>
        <w:tc>
          <w:tcPr>
            <w:tcW w:w="5703" w:type="dxa"/>
            <w:tcBorders>
              <w:top w:val="nil"/>
              <w:left w:val="nil"/>
              <w:bottom w:val="nil"/>
              <w:right w:val="nil"/>
            </w:tcBorders>
            <w:shd w:val="clear" w:color="000000" w:fill="FFFFFF"/>
            <w:hideMark/>
          </w:tcPr>
          <w:p w:rsidR="00692490" w:rsidRPr="00692490" w:rsidRDefault="00692490" w:rsidP="00692490">
            <w:pPr>
              <w:spacing w:line="240" w:lineRule="auto"/>
              <w:rPr>
                <w:sz w:val="18"/>
                <w:szCs w:val="18"/>
              </w:rPr>
            </w:pPr>
            <w:r w:rsidRPr="00692490">
              <w:rPr>
                <w:sz w:val="18"/>
                <w:szCs w:val="18"/>
              </w:rPr>
              <w:t>Herinzet middelen project Veghelse Mozaïek</w:t>
            </w:r>
          </w:p>
        </w:tc>
        <w:tc>
          <w:tcPr>
            <w:tcW w:w="1096" w:type="dxa"/>
            <w:tcBorders>
              <w:top w:val="nil"/>
              <w:left w:val="nil"/>
              <w:bottom w:val="nil"/>
              <w:right w:val="nil"/>
            </w:tcBorders>
            <w:shd w:val="clear" w:color="000000" w:fill="FFFFFF"/>
            <w:noWrap/>
            <w:hideMark/>
          </w:tcPr>
          <w:p w:rsidR="00692490" w:rsidRPr="00692490" w:rsidRDefault="00692490" w:rsidP="00692490">
            <w:pPr>
              <w:spacing w:line="240" w:lineRule="auto"/>
              <w:jc w:val="right"/>
              <w:rPr>
                <w:color w:val="000000"/>
                <w:sz w:val="18"/>
                <w:szCs w:val="18"/>
              </w:rPr>
            </w:pPr>
            <w:r w:rsidRPr="00692490">
              <w:rPr>
                <w:color w:val="000000"/>
                <w:sz w:val="18"/>
                <w:szCs w:val="18"/>
              </w:rPr>
              <w:t>1.371.549</w:t>
            </w:r>
          </w:p>
        </w:tc>
      </w:tr>
      <w:tr w:rsidR="00692490" w:rsidRPr="00692490" w:rsidTr="00692490">
        <w:trPr>
          <w:trHeight w:val="285"/>
        </w:trPr>
        <w:tc>
          <w:tcPr>
            <w:tcW w:w="173" w:type="dxa"/>
            <w:tcBorders>
              <w:top w:val="nil"/>
              <w:left w:val="nil"/>
              <w:bottom w:val="nil"/>
              <w:right w:val="nil"/>
            </w:tcBorders>
            <w:shd w:val="clear" w:color="000000" w:fill="FFFFFF"/>
            <w:noWrap/>
            <w:hideMark/>
          </w:tcPr>
          <w:p w:rsidR="00692490" w:rsidRPr="00692490" w:rsidRDefault="00692490" w:rsidP="00692490">
            <w:pPr>
              <w:spacing w:line="240" w:lineRule="auto"/>
              <w:rPr>
                <w:color w:val="000000"/>
                <w:sz w:val="18"/>
                <w:szCs w:val="18"/>
              </w:rPr>
            </w:pPr>
            <w:r w:rsidRPr="00692490">
              <w:rPr>
                <w:color w:val="000000"/>
                <w:sz w:val="18"/>
                <w:szCs w:val="18"/>
              </w:rPr>
              <w:t> </w:t>
            </w:r>
          </w:p>
        </w:tc>
        <w:tc>
          <w:tcPr>
            <w:tcW w:w="5703" w:type="dxa"/>
            <w:tcBorders>
              <w:top w:val="nil"/>
              <w:left w:val="nil"/>
              <w:bottom w:val="nil"/>
              <w:right w:val="nil"/>
            </w:tcBorders>
            <w:shd w:val="clear" w:color="000000" w:fill="FFFFFF"/>
            <w:hideMark/>
          </w:tcPr>
          <w:p w:rsidR="00692490" w:rsidRPr="00692490" w:rsidRDefault="00692490" w:rsidP="00692490">
            <w:pPr>
              <w:spacing w:line="240" w:lineRule="auto"/>
              <w:rPr>
                <w:sz w:val="18"/>
                <w:szCs w:val="18"/>
              </w:rPr>
            </w:pPr>
            <w:r w:rsidRPr="00692490">
              <w:rPr>
                <w:sz w:val="18"/>
                <w:szCs w:val="18"/>
              </w:rPr>
              <w:t>Overheveling middelen Ruimtelijke ontwikkeling</w:t>
            </w:r>
          </w:p>
        </w:tc>
        <w:tc>
          <w:tcPr>
            <w:tcW w:w="1096" w:type="dxa"/>
            <w:tcBorders>
              <w:top w:val="nil"/>
              <w:left w:val="nil"/>
              <w:bottom w:val="nil"/>
              <w:right w:val="nil"/>
            </w:tcBorders>
            <w:shd w:val="clear" w:color="000000" w:fill="FFFFFF"/>
            <w:noWrap/>
            <w:hideMark/>
          </w:tcPr>
          <w:p w:rsidR="00692490" w:rsidRPr="00692490" w:rsidRDefault="00692490" w:rsidP="00692490">
            <w:pPr>
              <w:spacing w:line="240" w:lineRule="auto"/>
              <w:jc w:val="right"/>
              <w:rPr>
                <w:color w:val="000000"/>
                <w:sz w:val="18"/>
                <w:szCs w:val="18"/>
              </w:rPr>
            </w:pPr>
            <w:r w:rsidRPr="00692490">
              <w:rPr>
                <w:color w:val="000000"/>
                <w:sz w:val="18"/>
                <w:szCs w:val="18"/>
              </w:rPr>
              <w:t>1.414.548</w:t>
            </w:r>
          </w:p>
        </w:tc>
      </w:tr>
      <w:tr w:rsidR="00692490" w:rsidRPr="00692490" w:rsidTr="00692490">
        <w:trPr>
          <w:trHeight w:val="285"/>
        </w:trPr>
        <w:tc>
          <w:tcPr>
            <w:tcW w:w="173" w:type="dxa"/>
            <w:tcBorders>
              <w:top w:val="nil"/>
              <w:left w:val="nil"/>
              <w:bottom w:val="nil"/>
              <w:right w:val="nil"/>
            </w:tcBorders>
            <w:shd w:val="clear" w:color="000000" w:fill="FFFFFF"/>
            <w:noWrap/>
            <w:hideMark/>
          </w:tcPr>
          <w:p w:rsidR="00692490" w:rsidRPr="00692490" w:rsidRDefault="00692490" w:rsidP="00692490">
            <w:pPr>
              <w:spacing w:line="240" w:lineRule="auto"/>
              <w:rPr>
                <w:color w:val="000000"/>
                <w:sz w:val="18"/>
                <w:szCs w:val="18"/>
              </w:rPr>
            </w:pPr>
            <w:r w:rsidRPr="00692490">
              <w:rPr>
                <w:color w:val="000000"/>
                <w:sz w:val="18"/>
                <w:szCs w:val="18"/>
              </w:rPr>
              <w:t> </w:t>
            </w:r>
          </w:p>
        </w:tc>
        <w:tc>
          <w:tcPr>
            <w:tcW w:w="5703" w:type="dxa"/>
            <w:tcBorders>
              <w:top w:val="nil"/>
              <w:left w:val="nil"/>
              <w:bottom w:val="nil"/>
              <w:right w:val="nil"/>
            </w:tcBorders>
            <w:shd w:val="clear" w:color="000000" w:fill="FFFFFF"/>
            <w:hideMark/>
          </w:tcPr>
          <w:p w:rsidR="00692490" w:rsidRPr="00692490" w:rsidRDefault="00692490" w:rsidP="00692490">
            <w:pPr>
              <w:spacing w:line="240" w:lineRule="auto"/>
              <w:rPr>
                <w:sz w:val="18"/>
                <w:szCs w:val="18"/>
              </w:rPr>
            </w:pPr>
            <w:r w:rsidRPr="00692490">
              <w:rPr>
                <w:sz w:val="18"/>
                <w:szCs w:val="18"/>
              </w:rPr>
              <w:t>Inzet Rijksbijdrage Flexwonen</w:t>
            </w:r>
          </w:p>
        </w:tc>
        <w:tc>
          <w:tcPr>
            <w:tcW w:w="1096" w:type="dxa"/>
            <w:tcBorders>
              <w:top w:val="nil"/>
              <w:left w:val="nil"/>
              <w:bottom w:val="nil"/>
              <w:right w:val="nil"/>
            </w:tcBorders>
            <w:shd w:val="clear" w:color="000000" w:fill="FFFFFF"/>
            <w:noWrap/>
            <w:hideMark/>
          </w:tcPr>
          <w:p w:rsidR="00692490" w:rsidRPr="00692490" w:rsidRDefault="00692490" w:rsidP="00692490">
            <w:pPr>
              <w:spacing w:line="240" w:lineRule="auto"/>
              <w:jc w:val="right"/>
              <w:rPr>
                <w:color w:val="000000"/>
                <w:sz w:val="18"/>
                <w:szCs w:val="18"/>
              </w:rPr>
            </w:pPr>
            <w:r w:rsidRPr="00692490">
              <w:rPr>
                <w:color w:val="000000"/>
                <w:sz w:val="18"/>
                <w:szCs w:val="18"/>
              </w:rPr>
              <w:t>250.000</w:t>
            </w:r>
          </w:p>
        </w:tc>
      </w:tr>
      <w:tr w:rsidR="00692490" w:rsidRPr="00692490" w:rsidTr="00692490">
        <w:trPr>
          <w:trHeight w:val="285"/>
        </w:trPr>
        <w:tc>
          <w:tcPr>
            <w:tcW w:w="173" w:type="dxa"/>
            <w:tcBorders>
              <w:top w:val="nil"/>
              <w:left w:val="nil"/>
              <w:bottom w:val="nil"/>
              <w:right w:val="nil"/>
            </w:tcBorders>
            <w:shd w:val="clear" w:color="000000" w:fill="FFFFFF"/>
            <w:noWrap/>
            <w:hideMark/>
          </w:tcPr>
          <w:p w:rsidR="00692490" w:rsidRPr="00692490" w:rsidRDefault="00692490" w:rsidP="00692490">
            <w:pPr>
              <w:spacing w:line="240" w:lineRule="auto"/>
              <w:rPr>
                <w:color w:val="000000"/>
                <w:sz w:val="18"/>
                <w:szCs w:val="18"/>
              </w:rPr>
            </w:pPr>
            <w:r w:rsidRPr="00692490">
              <w:rPr>
                <w:color w:val="000000"/>
                <w:sz w:val="18"/>
                <w:szCs w:val="18"/>
              </w:rPr>
              <w:t> </w:t>
            </w:r>
          </w:p>
        </w:tc>
        <w:tc>
          <w:tcPr>
            <w:tcW w:w="5703" w:type="dxa"/>
            <w:tcBorders>
              <w:top w:val="nil"/>
              <w:left w:val="nil"/>
              <w:bottom w:val="nil"/>
              <w:right w:val="nil"/>
            </w:tcBorders>
            <w:shd w:val="clear" w:color="000000" w:fill="FFFFFF"/>
            <w:hideMark/>
          </w:tcPr>
          <w:p w:rsidR="00692490" w:rsidRPr="00692490" w:rsidRDefault="00692490" w:rsidP="00692490">
            <w:pPr>
              <w:spacing w:line="240" w:lineRule="auto"/>
              <w:rPr>
                <w:sz w:val="18"/>
                <w:szCs w:val="18"/>
              </w:rPr>
            </w:pPr>
            <w:r w:rsidRPr="00692490">
              <w:rPr>
                <w:sz w:val="18"/>
                <w:szCs w:val="18"/>
              </w:rPr>
              <w:t> </w:t>
            </w:r>
          </w:p>
        </w:tc>
        <w:tc>
          <w:tcPr>
            <w:tcW w:w="1096" w:type="dxa"/>
            <w:tcBorders>
              <w:top w:val="nil"/>
              <w:left w:val="nil"/>
              <w:bottom w:val="nil"/>
              <w:right w:val="nil"/>
            </w:tcBorders>
            <w:shd w:val="clear" w:color="000000" w:fill="FFFFFF"/>
            <w:noWrap/>
            <w:hideMark/>
          </w:tcPr>
          <w:p w:rsidR="00692490" w:rsidRPr="00692490" w:rsidRDefault="00692490" w:rsidP="00692490">
            <w:pPr>
              <w:spacing w:line="240" w:lineRule="auto"/>
              <w:rPr>
                <w:color w:val="000000"/>
                <w:sz w:val="18"/>
                <w:szCs w:val="18"/>
              </w:rPr>
            </w:pPr>
            <w:r w:rsidRPr="00692490">
              <w:rPr>
                <w:color w:val="000000"/>
                <w:sz w:val="18"/>
                <w:szCs w:val="18"/>
              </w:rPr>
              <w:t> </w:t>
            </w:r>
          </w:p>
        </w:tc>
      </w:tr>
      <w:tr w:rsidR="00692490" w:rsidRPr="00692490" w:rsidTr="00692490">
        <w:trPr>
          <w:trHeight w:val="285"/>
        </w:trPr>
        <w:tc>
          <w:tcPr>
            <w:tcW w:w="173" w:type="dxa"/>
            <w:tcBorders>
              <w:top w:val="nil"/>
              <w:left w:val="nil"/>
              <w:bottom w:val="nil"/>
              <w:right w:val="nil"/>
            </w:tcBorders>
            <w:shd w:val="clear" w:color="000000" w:fill="FFFFFF"/>
            <w:noWrap/>
            <w:hideMark/>
          </w:tcPr>
          <w:p w:rsidR="00692490" w:rsidRPr="00692490" w:rsidRDefault="00692490" w:rsidP="00692490">
            <w:pPr>
              <w:spacing w:line="240" w:lineRule="auto"/>
              <w:rPr>
                <w:color w:val="000000"/>
                <w:sz w:val="18"/>
                <w:szCs w:val="18"/>
              </w:rPr>
            </w:pPr>
            <w:r w:rsidRPr="00692490">
              <w:rPr>
                <w:color w:val="000000"/>
                <w:sz w:val="18"/>
                <w:szCs w:val="18"/>
              </w:rPr>
              <w:t>3</w:t>
            </w:r>
          </w:p>
        </w:tc>
        <w:tc>
          <w:tcPr>
            <w:tcW w:w="5703" w:type="dxa"/>
            <w:tcBorders>
              <w:top w:val="nil"/>
              <w:left w:val="nil"/>
              <w:bottom w:val="nil"/>
              <w:right w:val="nil"/>
            </w:tcBorders>
            <w:shd w:val="clear" w:color="000000" w:fill="FFFFFF"/>
            <w:hideMark/>
          </w:tcPr>
          <w:p w:rsidR="00692490" w:rsidRPr="00692490" w:rsidRDefault="00692490" w:rsidP="00692490">
            <w:pPr>
              <w:spacing w:line="240" w:lineRule="auto"/>
              <w:rPr>
                <w:sz w:val="18"/>
                <w:szCs w:val="18"/>
              </w:rPr>
            </w:pPr>
            <w:r w:rsidRPr="00692490">
              <w:rPr>
                <w:sz w:val="18"/>
                <w:szCs w:val="18"/>
              </w:rPr>
              <w:t>Water en Bodem</w:t>
            </w:r>
          </w:p>
        </w:tc>
        <w:tc>
          <w:tcPr>
            <w:tcW w:w="1096" w:type="dxa"/>
            <w:tcBorders>
              <w:top w:val="nil"/>
              <w:left w:val="nil"/>
              <w:bottom w:val="nil"/>
              <w:right w:val="nil"/>
            </w:tcBorders>
            <w:shd w:val="clear" w:color="000000" w:fill="FFFFFF"/>
            <w:noWrap/>
            <w:hideMark/>
          </w:tcPr>
          <w:p w:rsidR="00692490" w:rsidRPr="00692490" w:rsidRDefault="00692490" w:rsidP="00692490">
            <w:pPr>
              <w:spacing w:line="240" w:lineRule="auto"/>
              <w:rPr>
                <w:color w:val="000000"/>
                <w:sz w:val="18"/>
                <w:szCs w:val="18"/>
              </w:rPr>
            </w:pPr>
            <w:r w:rsidRPr="00692490">
              <w:rPr>
                <w:color w:val="000000"/>
                <w:sz w:val="18"/>
                <w:szCs w:val="18"/>
              </w:rPr>
              <w:t> </w:t>
            </w:r>
          </w:p>
        </w:tc>
      </w:tr>
      <w:tr w:rsidR="00692490" w:rsidRPr="00692490" w:rsidTr="00692490">
        <w:trPr>
          <w:trHeight w:val="285"/>
        </w:trPr>
        <w:tc>
          <w:tcPr>
            <w:tcW w:w="173" w:type="dxa"/>
            <w:tcBorders>
              <w:top w:val="nil"/>
              <w:left w:val="nil"/>
              <w:bottom w:val="nil"/>
              <w:right w:val="nil"/>
            </w:tcBorders>
            <w:shd w:val="clear" w:color="000000" w:fill="FFFFFF"/>
            <w:noWrap/>
            <w:hideMark/>
          </w:tcPr>
          <w:p w:rsidR="00692490" w:rsidRPr="00692490" w:rsidRDefault="00692490" w:rsidP="00692490">
            <w:pPr>
              <w:spacing w:line="240" w:lineRule="auto"/>
              <w:rPr>
                <w:color w:val="000000"/>
                <w:sz w:val="18"/>
                <w:szCs w:val="18"/>
              </w:rPr>
            </w:pPr>
            <w:r w:rsidRPr="00692490">
              <w:rPr>
                <w:color w:val="000000"/>
                <w:sz w:val="18"/>
                <w:szCs w:val="18"/>
              </w:rPr>
              <w:t> </w:t>
            </w:r>
          </w:p>
        </w:tc>
        <w:tc>
          <w:tcPr>
            <w:tcW w:w="5703" w:type="dxa"/>
            <w:tcBorders>
              <w:top w:val="nil"/>
              <w:left w:val="nil"/>
              <w:bottom w:val="nil"/>
              <w:right w:val="nil"/>
            </w:tcBorders>
            <w:shd w:val="clear" w:color="000000" w:fill="FFFFFF"/>
            <w:hideMark/>
          </w:tcPr>
          <w:p w:rsidR="00692490" w:rsidRPr="00692490" w:rsidRDefault="00692490" w:rsidP="00692490">
            <w:pPr>
              <w:spacing w:line="240" w:lineRule="auto"/>
              <w:rPr>
                <w:sz w:val="18"/>
                <w:szCs w:val="18"/>
              </w:rPr>
            </w:pPr>
            <w:r w:rsidRPr="00692490">
              <w:rPr>
                <w:sz w:val="18"/>
                <w:szCs w:val="18"/>
              </w:rPr>
              <w:t>Overheveling overeenkomst waterpoort</w:t>
            </w:r>
          </w:p>
        </w:tc>
        <w:tc>
          <w:tcPr>
            <w:tcW w:w="1096" w:type="dxa"/>
            <w:tcBorders>
              <w:top w:val="nil"/>
              <w:left w:val="nil"/>
              <w:bottom w:val="nil"/>
              <w:right w:val="nil"/>
            </w:tcBorders>
            <w:shd w:val="clear" w:color="000000" w:fill="FFFFFF"/>
            <w:noWrap/>
            <w:hideMark/>
          </w:tcPr>
          <w:p w:rsidR="00692490" w:rsidRPr="00692490" w:rsidRDefault="00692490" w:rsidP="00692490">
            <w:pPr>
              <w:spacing w:line="240" w:lineRule="auto"/>
              <w:jc w:val="right"/>
              <w:rPr>
                <w:color w:val="000000"/>
                <w:sz w:val="18"/>
                <w:szCs w:val="18"/>
              </w:rPr>
            </w:pPr>
            <w:r w:rsidRPr="00692490">
              <w:rPr>
                <w:color w:val="000000"/>
                <w:sz w:val="18"/>
                <w:szCs w:val="18"/>
              </w:rPr>
              <w:t>41.382</w:t>
            </w:r>
          </w:p>
        </w:tc>
      </w:tr>
      <w:tr w:rsidR="00692490" w:rsidRPr="00692490" w:rsidTr="00692490">
        <w:trPr>
          <w:trHeight w:val="285"/>
        </w:trPr>
        <w:tc>
          <w:tcPr>
            <w:tcW w:w="173" w:type="dxa"/>
            <w:tcBorders>
              <w:top w:val="nil"/>
              <w:left w:val="nil"/>
              <w:bottom w:val="nil"/>
              <w:right w:val="nil"/>
            </w:tcBorders>
            <w:shd w:val="clear" w:color="000000" w:fill="FFFFFF"/>
            <w:noWrap/>
            <w:hideMark/>
          </w:tcPr>
          <w:p w:rsidR="00692490" w:rsidRPr="00692490" w:rsidRDefault="00692490" w:rsidP="00692490">
            <w:pPr>
              <w:spacing w:line="240" w:lineRule="auto"/>
              <w:rPr>
                <w:color w:val="000000"/>
                <w:sz w:val="18"/>
                <w:szCs w:val="18"/>
              </w:rPr>
            </w:pPr>
            <w:r w:rsidRPr="00692490">
              <w:rPr>
                <w:color w:val="000000"/>
                <w:sz w:val="18"/>
                <w:szCs w:val="18"/>
              </w:rPr>
              <w:t> </w:t>
            </w:r>
          </w:p>
        </w:tc>
        <w:tc>
          <w:tcPr>
            <w:tcW w:w="5703" w:type="dxa"/>
            <w:tcBorders>
              <w:top w:val="nil"/>
              <w:left w:val="nil"/>
              <w:bottom w:val="nil"/>
              <w:right w:val="nil"/>
            </w:tcBorders>
            <w:shd w:val="clear" w:color="000000" w:fill="FFFFFF"/>
            <w:hideMark/>
          </w:tcPr>
          <w:p w:rsidR="00692490" w:rsidRPr="00692490" w:rsidRDefault="00692490" w:rsidP="00692490">
            <w:pPr>
              <w:spacing w:line="240" w:lineRule="auto"/>
              <w:rPr>
                <w:color w:val="000000"/>
                <w:sz w:val="18"/>
                <w:szCs w:val="18"/>
              </w:rPr>
            </w:pPr>
            <w:r w:rsidRPr="00692490">
              <w:rPr>
                <w:color w:val="000000"/>
                <w:sz w:val="18"/>
                <w:szCs w:val="18"/>
              </w:rPr>
              <w:t> </w:t>
            </w:r>
          </w:p>
        </w:tc>
        <w:tc>
          <w:tcPr>
            <w:tcW w:w="1096" w:type="dxa"/>
            <w:tcBorders>
              <w:top w:val="nil"/>
              <w:left w:val="nil"/>
              <w:bottom w:val="nil"/>
              <w:right w:val="nil"/>
            </w:tcBorders>
            <w:shd w:val="clear" w:color="000000" w:fill="FFFFFF"/>
            <w:noWrap/>
            <w:hideMark/>
          </w:tcPr>
          <w:p w:rsidR="00692490" w:rsidRPr="00692490" w:rsidRDefault="00692490" w:rsidP="00692490">
            <w:pPr>
              <w:spacing w:line="240" w:lineRule="auto"/>
              <w:rPr>
                <w:color w:val="000000"/>
                <w:sz w:val="18"/>
                <w:szCs w:val="18"/>
              </w:rPr>
            </w:pPr>
            <w:r w:rsidRPr="00692490">
              <w:rPr>
                <w:color w:val="000000"/>
                <w:sz w:val="18"/>
                <w:szCs w:val="18"/>
              </w:rPr>
              <w:t> </w:t>
            </w:r>
          </w:p>
        </w:tc>
      </w:tr>
      <w:tr w:rsidR="00692490" w:rsidRPr="00692490" w:rsidTr="00692490">
        <w:trPr>
          <w:trHeight w:val="285"/>
        </w:trPr>
        <w:tc>
          <w:tcPr>
            <w:tcW w:w="173" w:type="dxa"/>
            <w:tcBorders>
              <w:top w:val="nil"/>
              <w:left w:val="nil"/>
              <w:bottom w:val="nil"/>
              <w:right w:val="nil"/>
            </w:tcBorders>
            <w:shd w:val="clear" w:color="000000" w:fill="FFFFFF"/>
            <w:noWrap/>
            <w:hideMark/>
          </w:tcPr>
          <w:p w:rsidR="00692490" w:rsidRPr="00692490" w:rsidRDefault="00692490" w:rsidP="00692490">
            <w:pPr>
              <w:spacing w:line="240" w:lineRule="auto"/>
              <w:rPr>
                <w:color w:val="000000"/>
                <w:sz w:val="18"/>
                <w:szCs w:val="18"/>
              </w:rPr>
            </w:pPr>
            <w:r w:rsidRPr="00692490">
              <w:rPr>
                <w:color w:val="000000"/>
                <w:sz w:val="18"/>
                <w:szCs w:val="18"/>
              </w:rPr>
              <w:t> </w:t>
            </w:r>
          </w:p>
        </w:tc>
        <w:tc>
          <w:tcPr>
            <w:tcW w:w="5703" w:type="dxa"/>
            <w:tcBorders>
              <w:top w:val="nil"/>
              <w:left w:val="nil"/>
              <w:bottom w:val="nil"/>
              <w:right w:val="nil"/>
            </w:tcBorders>
            <w:shd w:val="clear" w:color="000000" w:fill="FFFFFF"/>
            <w:hideMark/>
          </w:tcPr>
          <w:p w:rsidR="00692490" w:rsidRPr="00692490" w:rsidRDefault="00692490" w:rsidP="00692490">
            <w:pPr>
              <w:spacing w:line="240" w:lineRule="auto"/>
              <w:rPr>
                <w:sz w:val="18"/>
                <w:szCs w:val="18"/>
              </w:rPr>
            </w:pPr>
            <w:r w:rsidRPr="00692490">
              <w:rPr>
                <w:sz w:val="18"/>
                <w:szCs w:val="18"/>
              </w:rPr>
              <w:t>Vitale bodem</w:t>
            </w:r>
          </w:p>
        </w:tc>
        <w:tc>
          <w:tcPr>
            <w:tcW w:w="1096" w:type="dxa"/>
            <w:tcBorders>
              <w:top w:val="nil"/>
              <w:left w:val="nil"/>
              <w:bottom w:val="nil"/>
              <w:right w:val="nil"/>
            </w:tcBorders>
            <w:shd w:val="clear" w:color="000000" w:fill="FFFFFF"/>
            <w:noWrap/>
            <w:hideMark/>
          </w:tcPr>
          <w:p w:rsidR="00692490" w:rsidRPr="00692490" w:rsidRDefault="00692490" w:rsidP="00692490">
            <w:pPr>
              <w:spacing w:line="240" w:lineRule="auto"/>
              <w:jc w:val="right"/>
              <w:rPr>
                <w:color w:val="000000"/>
                <w:sz w:val="18"/>
                <w:szCs w:val="18"/>
              </w:rPr>
            </w:pPr>
            <w:r w:rsidRPr="00692490">
              <w:rPr>
                <w:color w:val="000000"/>
                <w:sz w:val="18"/>
                <w:szCs w:val="18"/>
              </w:rPr>
              <w:t>176.736</w:t>
            </w:r>
          </w:p>
        </w:tc>
      </w:tr>
      <w:tr w:rsidR="00692490" w:rsidRPr="00692490" w:rsidTr="00692490">
        <w:trPr>
          <w:trHeight w:val="285"/>
        </w:trPr>
        <w:tc>
          <w:tcPr>
            <w:tcW w:w="173" w:type="dxa"/>
            <w:tcBorders>
              <w:top w:val="nil"/>
              <w:left w:val="nil"/>
              <w:bottom w:val="nil"/>
              <w:right w:val="nil"/>
            </w:tcBorders>
            <w:shd w:val="clear" w:color="000000" w:fill="FFFFFF"/>
            <w:noWrap/>
            <w:hideMark/>
          </w:tcPr>
          <w:p w:rsidR="00692490" w:rsidRPr="00692490" w:rsidRDefault="00692490" w:rsidP="00692490">
            <w:pPr>
              <w:spacing w:line="240" w:lineRule="auto"/>
              <w:rPr>
                <w:color w:val="000000"/>
                <w:sz w:val="18"/>
                <w:szCs w:val="18"/>
              </w:rPr>
            </w:pPr>
            <w:r w:rsidRPr="00692490">
              <w:rPr>
                <w:color w:val="000000"/>
                <w:sz w:val="18"/>
                <w:szCs w:val="18"/>
              </w:rPr>
              <w:t> </w:t>
            </w:r>
          </w:p>
        </w:tc>
        <w:tc>
          <w:tcPr>
            <w:tcW w:w="5703" w:type="dxa"/>
            <w:tcBorders>
              <w:top w:val="nil"/>
              <w:left w:val="nil"/>
              <w:bottom w:val="nil"/>
              <w:right w:val="nil"/>
            </w:tcBorders>
            <w:shd w:val="clear" w:color="000000" w:fill="FFFFFF"/>
            <w:hideMark/>
          </w:tcPr>
          <w:p w:rsidR="00692490" w:rsidRPr="00692490" w:rsidRDefault="00692490" w:rsidP="00692490">
            <w:pPr>
              <w:spacing w:line="240" w:lineRule="auto"/>
              <w:rPr>
                <w:sz w:val="18"/>
                <w:szCs w:val="18"/>
              </w:rPr>
            </w:pPr>
            <w:r w:rsidRPr="00692490">
              <w:rPr>
                <w:sz w:val="18"/>
                <w:szCs w:val="18"/>
              </w:rPr>
              <w:t> </w:t>
            </w:r>
          </w:p>
        </w:tc>
        <w:tc>
          <w:tcPr>
            <w:tcW w:w="1096" w:type="dxa"/>
            <w:tcBorders>
              <w:top w:val="nil"/>
              <w:left w:val="nil"/>
              <w:bottom w:val="nil"/>
              <w:right w:val="nil"/>
            </w:tcBorders>
            <w:shd w:val="clear" w:color="000000" w:fill="FFFFFF"/>
            <w:noWrap/>
            <w:hideMark/>
          </w:tcPr>
          <w:p w:rsidR="00692490" w:rsidRPr="00692490" w:rsidRDefault="00692490" w:rsidP="00692490">
            <w:pPr>
              <w:spacing w:line="240" w:lineRule="auto"/>
              <w:rPr>
                <w:color w:val="000000"/>
                <w:sz w:val="18"/>
                <w:szCs w:val="18"/>
              </w:rPr>
            </w:pPr>
            <w:r w:rsidRPr="00692490">
              <w:rPr>
                <w:color w:val="000000"/>
                <w:sz w:val="18"/>
                <w:szCs w:val="18"/>
              </w:rPr>
              <w:t> </w:t>
            </w:r>
          </w:p>
        </w:tc>
      </w:tr>
      <w:tr w:rsidR="00692490" w:rsidRPr="00692490" w:rsidTr="00692490">
        <w:trPr>
          <w:trHeight w:val="285"/>
        </w:trPr>
        <w:tc>
          <w:tcPr>
            <w:tcW w:w="173" w:type="dxa"/>
            <w:tcBorders>
              <w:top w:val="nil"/>
              <w:left w:val="nil"/>
              <w:bottom w:val="nil"/>
              <w:right w:val="nil"/>
            </w:tcBorders>
            <w:shd w:val="clear" w:color="000000" w:fill="FFFFFF"/>
            <w:noWrap/>
            <w:hideMark/>
          </w:tcPr>
          <w:p w:rsidR="00692490" w:rsidRPr="00692490" w:rsidRDefault="00692490" w:rsidP="00692490">
            <w:pPr>
              <w:spacing w:line="240" w:lineRule="auto"/>
              <w:rPr>
                <w:color w:val="000000"/>
                <w:sz w:val="18"/>
                <w:szCs w:val="18"/>
              </w:rPr>
            </w:pPr>
            <w:r w:rsidRPr="00692490">
              <w:rPr>
                <w:color w:val="000000"/>
                <w:sz w:val="18"/>
                <w:szCs w:val="18"/>
              </w:rPr>
              <w:t>4</w:t>
            </w:r>
          </w:p>
        </w:tc>
        <w:tc>
          <w:tcPr>
            <w:tcW w:w="5703" w:type="dxa"/>
            <w:tcBorders>
              <w:top w:val="nil"/>
              <w:left w:val="nil"/>
              <w:bottom w:val="nil"/>
              <w:right w:val="nil"/>
            </w:tcBorders>
            <w:shd w:val="clear" w:color="000000" w:fill="FFFFFF"/>
            <w:hideMark/>
          </w:tcPr>
          <w:p w:rsidR="00692490" w:rsidRPr="00692490" w:rsidRDefault="00692490" w:rsidP="00692490">
            <w:pPr>
              <w:spacing w:line="240" w:lineRule="auto"/>
              <w:rPr>
                <w:sz w:val="18"/>
                <w:szCs w:val="18"/>
              </w:rPr>
            </w:pPr>
            <w:r w:rsidRPr="00692490">
              <w:rPr>
                <w:sz w:val="18"/>
                <w:szCs w:val="18"/>
              </w:rPr>
              <w:t>Natuur en milieu</w:t>
            </w:r>
          </w:p>
        </w:tc>
        <w:tc>
          <w:tcPr>
            <w:tcW w:w="1096" w:type="dxa"/>
            <w:tcBorders>
              <w:top w:val="nil"/>
              <w:left w:val="nil"/>
              <w:bottom w:val="nil"/>
              <w:right w:val="nil"/>
            </w:tcBorders>
            <w:shd w:val="clear" w:color="000000" w:fill="FFFFFF"/>
            <w:noWrap/>
            <w:hideMark/>
          </w:tcPr>
          <w:p w:rsidR="00692490" w:rsidRPr="00692490" w:rsidRDefault="00692490" w:rsidP="00692490">
            <w:pPr>
              <w:spacing w:line="240" w:lineRule="auto"/>
              <w:rPr>
                <w:color w:val="000000"/>
                <w:sz w:val="18"/>
                <w:szCs w:val="18"/>
              </w:rPr>
            </w:pPr>
            <w:r w:rsidRPr="00692490">
              <w:rPr>
                <w:color w:val="000000"/>
                <w:sz w:val="18"/>
                <w:szCs w:val="18"/>
              </w:rPr>
              <w:t> </w:t>
            </w:r>
          </w:p>
        </w:tc>
      </w:tr>
      <w:tr w:rsidR="00692490" w:rsidRPr="00692490" w:rsidTr="00692490">
        <w:trPr>
          <w:trHeight w:val="285"/>
        </w:trPr>
        <w:tc>
          <w:tcPr>
            <w:tcW w:w="173" w:type="dxa"/>
            <w:tcBorders>
              <w:top w:val="nil"/>
              <w:left w:val="nil"/>
              <w:bottom w:val="nil"/>
              <w:right w:val="nil"/>
            </w:tcBorders>
            <w:shd w:val="clear" w:color="000000" w:fill="FFFFFF"/>
            <w:noWrap/>
            <w:hideMark/>
          </w:tcPr>
          <w:p w:rsidR="00692490" w:rsidRPr="00692490" w:rsidRDefault="00692490" w:rsidP="00692490">
            <w:pPr>
              <w:spacing w:line="240" w:lineRule="auto"/>
              <w:rPr>
                <w:color w:val="000000"/>
                <w:sz w:val="18"/>
                <w:szCs w:val="18"/>
              </w:rPr>
            </w:pPr>
            <w:r w:rsidRPr="00692490">
              <w:rPr>
                <w:color w:val="000000"/>
                <w:sz w:val="18"/>
                <w:szCs w:val="18"/>
              </w:rPr>
              <w:t> </w:t>
            </w:r>
          </w:p>
        </w:tc>
        <w:tc>
          <w:tcPr>
            <w:tcW w:w="5703" w:type="dxa"/>
            <w:tcBorders>
              <w:top w:val="nil"/>
              <w:left w:val="nil"/>
              <w:bottom w:val="nil"/>
              <w:right w:val="nil"/>
            </w:tcBorders>
            <w:shd w:val="clear" w:color="000000" w:fill="FFFFFF"/>
            <w:hideMark/>
          </w:tcPr>
          <w:p w:rsidR="00692490" w:rsidRPr="00692490" w:rsidRDefault="00692490" w:rsidP="00692490">
            <w:pPr>
              <w:spacing w:line="240" w:lineRule="auto"/>
              <w:rPr>
                <w:sz w:val="18"/>
                <w:szCs w:val="18"/>
              </w:rPr>
            </w:pPr>
            <w:r w:rsidRPr="00692490">
              <w:rPr>
                <w:sz w:val="18"/>
                <w:szCs w:val="18"/>
              </w:rPr>
              <w:t>Subsidieregeling natuur N279</w:t>
            </w:r>
          </w:p>
        </w:tc>
        <w:tc>
          <w:tcPr>
            <w:tcW w:w="1096" w:type="dxa"/>
            <w:tcBorders>
              <w:top w:val="nil"/>
              <w:left w:val="nil"/>
              <w:bottom w:val="nil"/>
              <w:right w:val="nil"/>
            </w:tcBorders>
            <w:shd w:val="clear" w:color="000000" w:fill="FFFFFF"/>
            <w:noWrap/>
            <w:hideMark/>
          </w:tcPr>
          <w:p w:rsidR="00692490" w:rsidRPr="00692490" w:rsidRDefault="00692490" w:rsidP="00692490">
            <w:pPr>
              <w:spacing w:line="240" w:lineRule="auto"/>
              <w:jc w:val="right"/>
              <w:rPr>
                <w:color w:val="000000"/>
                <w:sz w:val="18"/>
                <w:szCs w:val="18"/>
              </w:rPr>
            </w:pPr>
            <w:r w:rsidRPr="00692490">
              <w:rPr>
                <w:color w:val="000000"/>
                <w:sz w:val="18"/>
                <w:szCs w:val="18"/>
              </w:rPr>
              <w:t>516.780</w:t>
            </w:r>
          </w:p>
        </w:tc>
      </w:tr>
      <w:tr w:rsidR="00692490" w:rsidRPr="00692490" w:rsidTr="00692490">
        <w:trPr>
          <w:trHeight w:val="285"/>
        </w:trPr>
        <w:tc>
          <w:tcPr>
            <w:tcW w:w="173" w:type="dxa"/>
            <w:tcBorders>
              <w:top w:val="nil"/>
              <w:left w:val="nil"/>
              <w:bottom w:val="nil"/>
              <w:right w:val="nil"/>
            </w:tcBorders>
            <w:shd w:val="clear" w:color="000000" w:fill="FFFFFF"/>
            <w:noWrap/>
            <w:hideMark/>
          </w:tcPr>
          <w:p w:rsidR="00692490" w:rsidRPr="00692490" w:rsidRDefault="00692490" w:rsidP="00692490">
            <w:pPr>
              <w:spacing w:line="240" w:lineRule="auto"/>
              <w:rPr>
                <w:color w:val="000000"/>
                <w:sz w:val="18"/>
                <w:szCs w:val="18"/>
              </w:rPr>
            </w:pPr>
            <w:r w:rsidRPr="00692490">
              <w:rPr>
                <w:color w:val="000000"/>
                <w:sz w:val="18"/>
                <w:szCs w:val="18"/>
              </w:rPr>
              <w:t> </w:t>
            </w:r>
          </w:p>
        </w:tc>
        <w:tc>
          <w:tcPr>
            <w:tcW w:w="5703" w:type="dxa"/>
            <w:tcBorders>
              <w:top w:val="nil"/>
              <w:left w:val="nil"/>
              <w:bottom w:val="nil"/>
              <w:right w:val="nil"/>
            </w:tcBorders>
            <w:shd w:val="clear" w:color="000000" w:fill="FFFFFF"/>
            <w:hideMark/>
          </w:tcPr>
          <w:p w:rsidR="00692490" w:rsidRPr="00692490" w:rsidRDefault="00692490" w:rsidP="00692490">
            <w:pPr>
              <w:spacing w:line="240" w:lineRule="auto"/>
              <w:rPr>
                <w:sz w:val="18"/>
                <w:szCs w:val="18"/>
              </w:rPr>
            </w:pPr>
            <w:r w:rsidRPr="00692490">
              <w:rPr>
                <w:sz w:val="18"/>
                <w:szCs w:val="18"/>
              </w:rPr>
              <w:t>Rijksmiddelen drugsdumpingen</w:t>
            </w:r>
          </w:p>
        </w:tc>
        <w:tc>
          <w:tcPr>
            <w:tcW w:w="1096" w:type="dxa"/>
            <w:tcBorders>
              <w:top w:val="nil"/>
              <w:left w:val="nil"/>
              <w:bottom w:val="nil"/>
              <w:right w:val="nil"/>
            </w:tcBorders>
            <w:shd w:val="clear" w:color="000000" w:fill="FFFFFF"/>
            <w:noWrap/>
            <w:hideMark/>
          </w:tcPr>
          <w:p w:rsidR="00692490" w:rsidRPr="00692490" w:rsidRDefault="00692490" w:rsidP="00692490">
            <w:pPr>
              <w:spacing w:line="240" w:lineRule="auto"/>
              <w:jc w:val="right"/>
              <w:rPr>
                <w:color w:val="000000"/>
                <w:sz w:val="18"/>
                <w:szCs w:val="18"/>
              </w:rPr>
            </w:pPr>
            <w:r w:rsidRPr="00692490">
              <w:rPr>
                <w:color w:val="000000"/>
                <w:sz w:val="18"/>
                <w:szCs w:val="18"/>
              </w:rPr>
              <w:t>296.988</w:t>
            </w:r>
          </w:p>
        </w:tc>
      </w:tr>
      <w:tr w:rsidR="00692490" w:rsidRPr="00692490" w:rsidTr="00692490">
        <w:trPr>
          <w:trHeight w:val="285"/>
        </w:trPr>
        <w:tc>
          <w:tcPr>
            <w:tcW w:w="173" w:type="dxa"/>
            <w:tcBorders>
              <w:top w:val="nil"/>
              <w:left w:val="nil"/>
              <w:bottom w:val="nil"/>
              <w:right w:val="nil"/>
            </w:tcBorders>
            <w:shd w:val="clear" w:color="000000" w:fill="FFFFFF"/>
            <w:noWrap/>
            <w:hideMark/>
          </w:tcPr>
          <w:p w:rsidR="00692490" w:rsidRPr="00692490" w:rsidRDefault="00692490" w:rsidP="00692490">
            <w:pPr>
              <w:spacing w:line="240" w:lineRule="auto"/>
              <w:rPr>
                <w:color w:val="000000"/>
                <w:sz w:val="18"/>
                <w:szCs w:val="18"/>
              </w:rPr>
            </w:pPr>
            <w:r w:rsidRPr="00692490">
              <w:rPr>
                <w:color w:val="000000"/>
                <w:sz w:val="18"/>
                <w:szCs w:val="18"/>
              </w:rPr>
              <w:t> </w:t>
            </w:r>
          </w:p>
        </w:tc>
        <w:tc>
          <w:tcPr>
            <w:tcW w:w="5703" w:type="dxa"/>
            <w:tcBorders>
              <w:top w:val="nil"/>
              <w:left w:val="nil"/>
              <w:bottom w:val="nil"/>
              <w:right w:val="nil"/>
            </w:tcBorders>
            <w:shd w:val="clear" w:color="000000" w:fill="FFFFFF"/>
            <w:hideMark/>
          </w:tcPr>
          <w:p w:rsidR="00692490" w:rsidRPr="00692490" w:rsidRDefault="00692490" w:rsidP="00692490">
            <w:pPr>
              <w:spacing w:line="240" w:lineRule="auto"/>
              <w:rPr>
                <w:sz w:val="18"/>
                <w:szCs w:val="18"/>
              </w:rPr>
            </w:pPr>
            <w:r w:rsidRPr="00692490">
              <w:rPr>
                <w:sz w:val="18"/>
                <w:szCs w:val="18"/>
              </w:rPr>
              <w:t>Gevelsanering geluid</w:t>
            </w:r>
          </w:p>
        </w:tc>
        <w:tc>
          <w:tcPr>
            <w:tcW w:w="1096" w:type="dxa"/>
            <w:tcBorders>
              <w:top w:val="nil"/>
              <w:left w:val="nil"/>
              <w:bottom w:val="nil"/>
              <w:right w:val="nil"/>
            </w:tcBorders>
            <w:shd w:val="clear" w:color="000000" w:fill="FFFFFF"/>
            <w:noWrap/>
            <w:hideMark/>
          </w:tcPr>
          <w:p w:rsidR="00692490" w:rsidRPr="00692490" w:rsidRDefault="00692490" w:rsidP="00692490">
            <w:pPr>
              <w:spacing w:line="240" w:lineRule="auto"/>
              <w:jc w:val="right"/>
              <w:rPr>
                <w:color w:val="000000"/>
                <w:sz w:val="18"/>
                <w:szCs w:val="18"/>
              </w:rPr>
            </w:pPr>
            <w:r w:rsidRPr="00692490">
              <w:rPr>
                <w:color w:val="000000"/>
                <w:sz w:val="18"/>
                <w:szCs w:val="18"/>
              </w:rPr>
              <w:t>144.254</w:t>
            </w:r>
          </w:p>
        </w:tc>
      </w:tr>
      <w:tr w:rsidR="00692490" w:rsidRPr="00692490" w:rsidTr="00692490">
        <w:trPr>
          <w:trHeight w:val="285"/>
        </w:trPr>
        <w:tc>
          <w:tcPr>
            <w:tcW w:w="173" w:type="dxa"/>
            <w:tcBorders>
              <w:top w:val="nil"/>
              <w:left w:val="nil"/>
              <w:bottom w:val="nil"/>
              <w:right w:val="nil"/>
            </w:tcBorders>
            <w:shd w:val="clear" w:color="000000" w:fill="FFFFFF"/>
            <w:noWrap/>
            <w:hideMark/>
          </w:tcPr>
          <w:p w:rsidR="00692490" w:rsidRPr="00692490" w:rsidRDefault="00692490" w:rsidP="00692490">
            <w:pPr>
              <w:spacing w:line="240" w:lineRule="auto"/>
              <w:rPr>
                <w:color w:val="000000"/>
                <w:sz w:val="18"/>
                <w:szCs w:val="18"/>
              </w:rPr>
            </w:pPr>
            <w:r w:rsidRPr="00692490">
              <w:rPr>
                <w:color w:val="000000"/>
                <w:sz w:val="18"/>
                <w:szCs w:val="18"/>
              </w:rPr>
              <w:t> </w:t>
            </w:r>
          </w:p>
        </w:tc>
        <w:tc>
          <w:tcPr>
            <w:tcW w:w="5703" w:type="dxa"/>
            <w:tcBorders>
              <w:top w:val="nil"/>
              <w:left w:val="nil"/>
              <w:bottom w:val="nil"/>
              <w:right w:val="nil"/>
            </w:tcBorders>
            <w:shd w:val="clear" w:color="000000" w:fill="FFFFFF"/>
            <w:hideMark/>
          </w:tcPr>
          <w:p w:rsidR="00692490" w:rsidRPr="00692490" w:rsidRDefault="00692490" w:rsidP="00692490">
            <w:pPr>
              <w:spacing w:line="240" w:lineRule="auto"/>
              <w:rPr>
                <w:sz w:val="18"/>
                <w:szCs w:val="18"/>
              </w:rPr>
            </w:pPr>
            <w:r w:rsidRPr="00692490">
              <w:rPr>
                <w:sz w:val="18"/>
                <w:szCs w:val="18"/>
              </w:rPr>
              <w:t>Voorbereidingsbudget gezondheid</w:t>
            </w:r>
          </w:p>
        </w:tc>
        <w:tc>
          <w:tcPr>
            <w:tcW w:w="1096" w:type="dxa"/>
            <w:tcBorders>
              <w:top w:val="nil"/>
              <w:left w:val="nil"/>
              <w:bottom w:val="nil"/>
              <w:right w:val="nil"/>
            </w:tcBorders>
            <w:shd w:val="clear" w:color="000000" w:fill="FFFFFF"/>
            <w:noWrap/>
            <w:hideMark/>
          </w:tcPr>
          <w:p w:rsidR="00692490" w:rsidRPr="00692490" w:rsidRDefault="00692490" w:rsidP="00692490">
            <w:pPr>
              <w:spacing w:line="240" w:lineRule="auto"/>
              <w:jc w:val="right"/>
              <w:rPr>
                <w:color w:val="000000"/>
                <w:sz w:val="18"/>
                <w:szCs w:val="18"/>
              </w:rPr>
            </w:pPr>
            <w:r w:rsidRPr="00692490">
              <w:rPr>
                <w:color w:val="000000"/>
                <w:sz w:val="18"/>
                <w:szCs w:val="18"/>
              </w:rPr>
              <w:t>100.000</w:t>
            </w:r>
          </w:p>
        </w:tc>
      </w:tr>
      <w:tr w:rsidR="00692490" w:rsidRPr="00692490" w:rsidTr="00692490">
        <w:trPr>
          <w:trHeight w:val="285"/>
        </w:trPr>
        <w:tc>
          <w:tcPr>
            <w:tcW w:w="173" w:type="dxa"/>
            <w:tcBorders>
              <w:top w:val="nil"/>
              <w:left w:val="nil"/>
              <w:bottom w:val="nil"/>
              <w:right w:val="nil"/>
            </w:tcBorders>
            <w:shd w:val="clear" w:color="000000" w:fill="FFFFFF"/>
            <w:noWrap/>
            <w:hideMark/>
          </w:tcPr>
          <w:p w:rsidR="00692490" w:rsidRPr="00692490" w:rsidRDefault="00692490" w:rsidP="00692490">
            <w:pPr>
              <w:spacing w:line="240" w:lineRule="auto"/>
              <w:rPr>
                <w:color w:val="000000"/>
                <w:sz w:val="18"/>
                <w:szCs w:val="18"/>
              </w:rPr>
            </w:pPr>
            <w:r w:rsidRPr="00692490">
              <w:rPr>
                <w:color w:val="000000"/>
                <w:sz w:val="18"/>
                <w:szCs w:val="18"/>
              </w:rPr>
              <w:t> </w:t>
            </w:r>
          </w:p>
        </w:tc>
        <w:tc>
          <w:tcPr>
            <w:tcW w:w="5703" w:type="dxa"/>
            <w:tcBorders>
              <w:top w:val="nil"/>
              <w:left w:val="nil"/>
              <w:bottom w:val="nil"/>
              <w:right w:val="nil"/>
            </w:tcBorders>
            <w:shd w:val="clear" w:color="000000" w:fill="FFFFFF"/>
            <w:hideMark/>
          </w:tcPr>
          <w:p w:rsidR="00692490" w:rsidRPr="00692490" w:rsidRDefault="00692490" w:rsidP="00692490">
            <w:pPr>
              <w:spacing w:line="240" w:lineRule="auto"/>
              <w:rPr>
                <w:sz w:val="18"/>
                <w:szCs w:val="18"/>
              </w:rPr>
            </w:pPr>
            <w:r w:rsidRPr="00692490">
              <w:rPr>
                <w:sz w:val="18"/>
                <w:szCs w:val="18"/>
              </w:rPr>
              <w:t> </w:t>
            </w:r>
          </w:p>
        </w:tc>
        <w:tc>
          <w:tcPr>
            <w:tcW w:w="1096" w:type="dxa"/>
            <w:tcBorders>
              <w:top w:val="nil"/>
              <w:left w:val="nil"/>
              <w:bottom w:val="nil"/>
              <w:right w:val="nil"/>
            </w:tcBorders>
            <w:shd w:val="clear" w:color="000000" w:fill="FFFFFF"/>
            <w:noWrap/>
            <w:hideMark/>
          </w:tcPr>
          <w:p w:rsidR="00692490" w:rsidRPr="00692490" w:rsidRDefault="00692490" w:rsidP="00692490">
            <w:pPr>
              <w:spacing w:line="240" w:lineRule="auto"/>
              <w:rPr>
                <w:color w:val="000000"/>
                <w:sz w:val="18"/>
                <w:szCs w:val="18"/>
              </w:rPr>
            </w:pPr>
            <w:r w:rsidRPr="00692490">
              <w:rPr>
                <w:color w:val="000000"/>
                <w:sz w:val="18"/>
                <w:szCs w:val="18"/>
              </w:rPr>
              <w:t> </w:t>
            </w:r>
          </w:p>
        </w:tc>
      </w:tr>
      <w:tr w:rsidR="00692490" w:rsidRPr="00692490" w:rsidTr="00692490">
        <w:trPr>
          <w:trHeight w:val="285"/>
        </w:trPr>
        <w:tc>
          <w:tcPr>
            <w:tcW w:w="173" w:type="dxa"/>
            <w:tcBorders>
              <w:top w:val="nil"/>
              <w:left w:val="nil"/>
              <w:bottom w:val="nil"/>
              <w:right w:val="nil"/>
            </w:tcBorders>
            <w:shd w:val="clear" w:color="000000" w:fill="FFFFFF"/>
            <w:noWrap/>
            <w:hideMark/>
          </w:tcPr>
          <w:p w:rsidR="00692490" w:rsidRPr="00692490" w:rsidRDefault="00692490" w:rsidP="00692490">
            <w:pPr>
              <w:spacing w:line="240" w:lineRule="auto"/>
              <w:rPr>
                <w:color w:val="000000"/>
                <w:sz w:val="18"/>
                <w:szCs w:val="18"/>
              </w:rPr>
            </w:pPr>
            <w:r w:rsidRPr="00692490">
              <w:rPr>
                <w:color w:val="000000"/>
                <w:sz w:val="18"/>
                <w:szCs w:val="18"/>
              </w:rPr>
              <w:lastRenderedPageBreak/>
              <w:t>5</w:t>
            </w:r>
          </w:p>
        </w:tc>
        <w:tc>
          <w:tcPr>
            <w:tcW w:w="5703" w:type="dxa"/>
            <w:tcBorders>
              <w:top w:val="nil"/>
              <w:left w:val="nil"/>
              <w:bottom w:val="nil"/>
              <w:right w:val="nil"/>
            </w:tcBorders>
            <w:shd w:val="clear" w:color="000000" w:fill="FFFFFF"/>
            <w:hideMark/>
          </w:tcPr>
          <w:p w:rsidR="00692490" w:rsidRPr="00692490" w:rsidRDefault="00692490" w:rsidP="00692490">
            <w:pPr>
              <w:spacing w:line="240" w:lineRule="auto"/>
              <w:rPr>
                <w:sz w:val="18"/>
                <w:szCs w:val="18"/>
              </w:rPr>
            </w:pPr>
            <w:r w:rsidRPr="00692490">
              <w:rPr>
                <w:sz w:val="18"/>
                <w:szCs w:val="18"/>
              </w:rPr>
              <w:t>Economie</w:t>
            </w:r>
          </w:p>
        </w:tc>
        <w:tc>
          <w:tcPr>
            <w:tcW w:w="1096" w:type="dxa"/>
            <w:tcBorders>
              <w:top w:val="nil"/>
              <w:left w:val="nil"/>
              <w:bottom w:val="nil"/>
              <w:right w:val="nil"/>
            </w:tcBorders>
            <w:shd w:val="clear" w:color="000000" w:fill="FFFFFF"/>
            <w:noWrap/>
            <w:hideMark/>
          </w:tcPr>
          <w:p w:rsidR="00692490" w:rsidRPr="00692490" w:rsidRDefault="00692490" w:rsidP="00692490">
            <w:pPr>
              <w:spacing w:line="240" w:lineRule="auto"/>
              <w:rPr>
                <w:color w:val="000000"/>
                <w:sz w:val="18"/>
                <w:szCs w:val="18"/>
              </w:rPr>
            </w:pPr>
            <w:r w:rsidRPr="00692490">
              <w:rPr>
                <w:color w:val="000000"/>
                <w:sz w:val="18"/>
                <w:szCs w:val="18"/>
              </w:rPr>
              <w:t> </w:t>
            </w:r>
          </w:p>
        </w:tc>
      </w:tr>
      <w:tr w:rsidR="00692490" w:rsidRPr="00692490" w:rsidTr="00692490">
        <w:trPr>
          <w:trHeight w:val="285"/>
        </w:trPr>
        <w:tc>
          <w:tcPr>
            <w:tcW w:w="173" w:type="dxa"/>
            <w:tcBorders>
              <w:top w:val="nil"/>
              <w:left w:val="nil"/>
              <w:bottom w:val="nil"/>
              <w:right w:val="nil"/>
            </w:tcBorders>
            <w:shd w:val="clear" w:color="000000" w:fill="FFFFFF"/>
            <w:noWrap/>
            <w:hideMark/>
          </w:tcPr>
          <w:p w:rsidR="00692490" w:rsidRPr="00692490" w:rsidRDefault="00692490" w:rsidP="00692490">
            <w:pPr>
              <w:spacing w:line="240" w:lineRule="auto"/>
              <w:rPr>
                <w:color w:val="000000"/>
                <w:sz w:val="18"/>
                <w:szCs w:val="18"/>
              </w:rPr>
            </w:pPr>
            <w:r w:rsidRPr="00692490">
              <w:rPr>
                <w:color w:val="000000"/>
                <w:sz w:val="18"/>
                <w:szCs w:val="18"/>
              </w:rPr>
              <w:t> </w:t>
            </w:r>
          </w:p>
        </w:tc>
        <w:tc>
          <w:tcPr>
            <w:tcW w:w="5703" w:type="dxa"/>
            <w:tcBorders>
              <w:top w:val="nil"/>
              <w:left w:val="nil"/>
              <w:bottom w:val="nil"/>
              <w:right w:val="nil"/>
            </w:tcBorders>
            <w:shd w:val="clear" w:color="000000" w:fill="FFFFFF"/>
            <w:hideMark/>
          </w:tcPr>
          <w:p w:rsidR="00692490" w:rsidRPr="00692490" w:rsidRDefault="00692490" w:rsidP="00692490">
            <w:pPr>
              <w:spacing w:line="240" w:lineRule="auto"/>
              <w:rPr>
                <w:sz w:val="18"/>
                <w:szCs w:val="18"/>
              </w:rPr>
            </w:pPr>
            <w:r w:rsidRPr="00692490">
              <w:rPr>
                <w:sz w:val="18"/>
                <w:szCs w:val="18"/>
              </w:rPr>
              <w:t>Overheveling vastgoed van Gogh</w:t>
            </w:r>
          </w:p>
        </w:tc>
        <w:tc>
          <w:tcPr>
            <w:tcW w:w="1096" w:type="dxa"/>
            <w:tcBorders>
              <w:top w:val="nil"/>
              <w:left w:val="nil"/>
              <w:bottom w:val="nil"/>
              <w:right w:val="nil"/>
            </w:tcBorders>
            <w:shd w:val="clear" w:color="000000" w:fill="FFFFFF"/>
            <w:noWrap/>
            <w:hideMark/>
          </w:tcPr>
          <w:p w:rsidR="00692490" w:rsidRPr="00692490" w:rsidRDefault="00692490" w:rsidP="00692490">
            <w:pPr>
              <w:spacing w:line="240" w:lineRule="auto"/>
              <w:jc w:val="right"/>
              <w:rPr>
                <w:color w:val="000000"/>
                <w:sz w:val="18"/>
                <w:szCs w:val="18"/>
              </w:rPr>
            </w:pPr>
            <w:r w:rsidRPr="00692490">
              <w:rPr>
                <w:color w:val="000000"/>
                <w:sz w:val="18"/>
                <w:szCs w:val="18"/>
              </w:rPr>
              <w:t>1.250.000</w:t>
            </w:r>
          </w:p>
        </w:tc>
      </w:tr>
      <w:tr w:rsidR="00692490" w:rsidRPr="00692490" w:rsidTr="00692490">
        <w:trPr>
          <w:trHeight w:val="285"/>
        </w:trPr>
        <w:tc>
          <w:tcPr>
            <w:tcW w:w="173" w:type="dxa"/>
            <w:tcBorders>
              <w:top w:val="nil"/>
              <w:left w:val="nil"/>
              <w:bottom w:val="nil"/>
              <w:right w:val="nil"/>
            </w:tcBorders>
            <w:shd w:val="clear" w:color="000000" w:fill="FFFFFF"/>
            <w:noWrap/>
            <w:hideMark/>
          </w:tcPr>
          <w:p w:rsidR="00692490" w:rsidRPr="00692490" w:rsidRDefault="00692490" w:rsidP="00692490">
            <w:pPr>
              <w:spacing w:line="240" w:lineRule="auto"/>
              <w:rPr>
                <w:color w:val="000000"/>
                <w:sz w:val="18"/>
                <w:szCs w:val="18"/>
              </w:rPr>
            </w:pPr>
            <w:r w:rsidRPr="00692490">
              <w:rPr>
                <w:color w:val="000000"/>
                <w:sz w:val="18"/>
                <w:szCs w:val="18"/>
              </w:rPr>
              <w:t> </w:t>
            </w:r>
          </w:p>
        </w:tc>
        <w:tc>
          <w:tcPr>
            <w:tcW w:w="5703" w:type="dxa"/>
            <w:tcBorders>
              <w:top w:val="nil"/>
              <w:left w:val="nil"/>
              <w:bottom w:val="nil"/>
              <w:right w:val="nil"/>
            </w:tcBorders>
            <w:shd w:val="clear" w:color="000000" w:fill="FFFFFF"/>
            <w:hideMark/>
          </w:tcPr>
          <w:p w:rsidR="00692490" w:rsidRPr="00692490" w:rsidRDefault="00692490" w:rsidP="00692490">
            <w:pPr>
              <w:spacing w:line="240" w:lineRule="auto"/>
              <w:rPr>
                <w:sz w:val="18"/>
                <w:szCs w:val="18"/>
              </w:rPr>
            </w:pPr>
            <w:r w:rsidRPr="00692490">
              <w:rPr>
                <w:sz w:val="18"/>
                <w:szCs w:val="18"/>
              </w:rPr>
              <w:t> </w:t>
            </w:r>
          </w:p>
        </w:tc>
        <w:tc>
          <w:tcPr>
            <w:tcW w:w="1096" w:type="dxa"/>
            <w:tcBorders>
              <w:top w:val="nil"/>
              <w:left w:val="nil"/>
              <w:bottom w:val="nil"/>
              <w:right w:val="nil"/>
            </w:tcBorders>
            <w:shd w:val="clear" w:color="000000" w:fill="FFFFFF"/>
            <w:noWrap/>
            <w:hideMark/>
          </w:tcPr>
          <w:p w:rsidR="00692490" w:rsidRPr="00692490" w:rsidRDefault="00692490" w:rsidP="00692490">
            <w:pPr>
              <w:spacing w:line="240" w:lineRule="auto"/>
              <w:rPr>
                <w:color w:val="000000"/>
                <w:sz w:val="18"/>
                <w:szCs w:val="18"/>
              </w:rPr>
            </w:pPr>
            <w:r w:rsidRPr="00692490">
              <w:rPr>
                <w:color w:val="000000"/>
                <w:sz w:val="18"/>
                <w:szCs w:val="18"/>
              </w:rPr>
              <w:t> </w:t>
            </w:r>
          </w:p>
        </w:tc>
      </w:tr>
      <w:tr w:rsidR="00692490" w:rsidRPr="00692490" w:rsidTr="00692490">
        <w:trPr>
          <w:trHeight w:val="285"/>
        </w:trPr>
        <w:tc>
          <w:tcPr>
            <w:tcW w:w="173" w:type="dxa"/>
            <w:tcBorders>
              <w:top w:val="nil"/>
              <w:left w:val="nil"/>
              <w:bottom w:val="nil"/>
              <w:right w:val="nil"/>
            </w:tcBorders>
            <w:shd w:val="clear" w:color="000000" w:fill="FFFFFF"/>
            <w:noWrap/>
            <w:hideMark/>
          </w:tcPr>
          <w:p w:rsidR="00692490" w:rsidRPr="00692490" w:rsidRDefault="00692490" w:rsidP="00692490">
            <w:pPr>
              <w:spacing w:line="240" w:lineRule="auto"/>
              <w:rPr>
                <w:color w:val="000000"/>
                <w:sz w:val="18"/>
                <w:szCs w:val="18"/>
              </w:rPr>
            </w:pPr>
            <w:r w:rsidRPr="00692490">
              <w:rPr>
                <w:color w:val="000000"/>
                <w:sz w:val="18"/>
                <w:szCs w:val="18"/>
              </w:rPr>
              <w:t>6</w:t>
            </w:r>
          </w:p>
        </w:tc>
        <w:tc>
          <w:tcPr>
            <w:tcW w:w="5703" w:type="dxa"/>
            <w:tcBorders>
              <w:top w:val="nil"/>
              <w:left w:val="nil"/>
              <w:bottom w:val="nil"/>
              <w:right w:val="nil"/>
            </w:tcBorders>
            <w:shd w:val="clear" w:color="000000" w:fill="FFFFFF"/>
            <w:hideMark/>
          </w:tcPr>
          <w:p w:rsidR="00692490" w:rsidRPr="00692490" w:rsidRDefault="00692490" w:rsidP="00692490">
            <w:pPr>
              <w:spacing w:line="240" w:lineRule="auto"/>
              <w:rPr>
                <w:sz w:val="18"/>
                <w:szCs w:val="18"/>
              </w:rPr>
            </w:pPr>
            <w:r w:rsidRPr="00692490">
              <w:rPr>
                <w:sz w:val="18"/>
                <w:szCs w:val="18"/>
              </w:rPr>
              <w:t>Energie, circulaire samenleving en gezondheid</w:t>
            </w:r>
          </w:p>
        </w:tc>
        <w:tc>
          <w:tcPr>
            <w:tcW w:w="1096" w:type="dxa"/>
            <w:tcBorders>
              <w:top w:val="nil"/>
              <w:left w:val="nil"/>
              <w:bottom w:val="nil"/>
              <w:right w:val="nil"/>
            </w:tcBorders>
            <w:shd w:val="clear" w:color="000000" w:fill="FFFFFF"/>
            <w:noWrap/>
            <w:hideMark/>
          </w:tcPr>
          <w:p w:rsidR="00692490" w:rsidRPr="00692490" w:rsidRDefault="00692490" w:rsidP="00692490">
            <w:pPr>
              <w:spacing w:line="240" w:lineRule="auto"/>
              <w:rPr>
                <w:color w:val="000000"/>
                <w:sz w:val="18"/>
                <w:szCs w:val="18"/>
              </w:rPr>
            </w:pPr>
            <w:r w:rsidRPr="00692490">
              <w:rPr>
                <w:color w:val="000000"/>
                <w:sz w:val="18"/>
                <w:szCs w:val="18"/>
              </w:rPr>
              <w:t> </w:t>
            </w:r>
          </w:p>
        </w:tc>
      </w:tr>
      <w:tr w:rsidR="00692490" w:rsidRPr="00692490" w:rsidTr="00692490">
        <w:trPr>
          <w:trHeight w:val="285"/>
        </w:trPr>
        <w:tc>
          <w:tcPr>
            <w:tcW w:w="173" w:type="dxa"/>
            <w:tcBorders>
              <w:top w:val="nil"/>
              <w:left w:val="nil"/>
              <w:bottom w:val="nil"/>
              <w:right w:val="nil"/>
            </w:tcBorders>
            <w:shd w:val="clear" w:color="000000" w:fill="FFFFFF"/>
            <w:noWrap/>
            <w:hideMark/>
          </w:tcPr>
          <w:p w:rsidR="00692490" w:rsidRPr="00692490" w:rsidRDefault="00692490" w:rsidP="00692490">
            <w:pPr>
              <w:spacing w:line="240" w:lineRule="auto"/>
              <w:rPr>
                <w:color w:val="000000"/>
                <w:sz w:val="18"/>
                <w:szCs w:val="18"/>
              </w:rPr>
            </w:pPr>
            <w:r w:rsidRPr="00692490">
              <w:rPr>
                <w:color w:val="000000"/>
                <w:sz w:val="18"/>
                <w:szCs w:val="18"/>
              </w:rPr>
              <w:t> </w:t>
            </w:r>
          </w:p>
        </w:tc>
        <w:tc>
          <w:tcPr>
            <w:tcW w:w="5703" w:type="dxa"/>
            <w:tcBorders>
              <w:top w:val="nil"/>
              <w:left w:val="nil"/>
              <w:bottom w:val="nil"/>
              <w:right w:val="nil"/>
            </w:tcBorders>
            <w:shd w:val="clear" w:color="000000" w:fill="FFFFFF"/>
            <w:hideMark/>
          </w:tcPr>
          <w:p w:rsidR="00692490" w:rsidRPr="00692490" w:rsidRDefault="00692490" w:rsidP="00692490">
            <w:pPr>
              <w:spacing w:line="240" w:lineRule="auto"/>
              <w:rPr>
                <w:sz w:val="18"/>
                <w:szCs w:val="18"/>
              </w:rPr>
            </w:pPr>
            <w:r w:rsidRPr="00692490">
              <w:rPr>
                <w:sz w:val="18"/>
                <w:szCs w:val="18"/>
              </w:rPr>
              <w:t>Overheveling BA middelen circulaire economie</w:t>
            </w:r>
          </w:p>
        </w:tc>
        <w:tc>
          <w:tcPr>
            <w:tcW w:w="1096" w:type="dxa"/>
            <w:tcBorders>
              <w:top w:val="nil"/>
              <w:left w:val="nil"/>
              <w:bottom w:val="nil"/>
              <w:right w:val="nil"/>
            </w:tcBorders>
            <w:shd w:val="clear" w:color="000000" w:fill="FFFFFF"/>
            <w:noWrap/>
            <w:hideMark/>
          </w:tcPr>
          <w:p w:rsidR="00692490" w:rsidRPr="00692490" w:rsidRDefault="00692490" w:rsidP="00692490">
            <w:pPr>
              <w:spacing w:line="240" w:lineRule="auto"/>
              <w:jc w:val="right"/>
              <w:rPr>
                <w:color w:val="000000"/>
                <w:sz w:val="18"/>
                <w:szCs w:val="18"/>
              </w:rPr>
            </w:pPr>
            <w:r w:rsidRPr="00692490">
              <w:rPr>
                <w:color w:val="000000"/>
                <w:sz w:val="18"/>
                <w:szCs w:val="18"/>
              </w:rPr>
              <w:t>176.710</w:t>
            </w:r>
          </w:p>
        </w:tc>
      </w:tr>
      <w:tr w:rsidR="00692490" w:rsidRPr="00692490" w:rsidTr="00692490">
        <w:trPr>
          <w:trHeight w:val="285"/>
        </w:trPr>
        <w:tc>
          <w:tcPr>
            <w:tcW w:w="173" w:type="dxa"/>
            <w:tcBorders>
              <w:top w:val="nil"/>
              <w:left w:val="nil"/>
              <w:bottom w:val="nil"/>
              <w:right w:val="nil"/>
            </w:tcBorders>
            <w:shd w:val="clear" w:color="000000" w:fill="FFFFFF"/>
            <w:noWrap/>
            <w:hideMark/>
          </w:tcPr>
          <w:p w:rsidR="00692490" w:rsidRPr="00692490" w:rsidRDefault="00692490" w:rsidP="00692490">
            <w:pPr>
              <w:spacing w:line="240" w:lineRule="auto"/>
              <w:rPr>
                <w:color w:val="000000"/>
                <w:sz w:val="18"/>
                <w:szCs w:val="18"/>
              </w:rPr>
            </w:pPr>
            <w:r w:rsidRPr="00692490">
              <w:rPr>
                <w:color w:val="000000"/>
                <w:sz w:val="18"/>
                <w:szCs w:val="18"/>
              </w:rPr>
              <w:t> </w:t>
            </w:r>
          </w:p>
        </w:tc>
        <w:tc>
          <w:tcPr>
            <w:tcW w:w="5703" w:type="dxa"/>
            <w:tcBorders>
              <w:top w:val="nil"/>
              <w:left w:val="nil"/>
              <w:bottom w:val="nil"/>
              <w:right w:val="nil"/>
            </w:tcBorders>
            <w:shd w:val="clear" w:color="000000" w:fill="FFFFFF"/>
            <w:hideMark/>
          </w:tcPr>
          <w:p w:rsidR="00692490" w:rsidRPr="00692490" w:rsidRDefault="00692490" w:rsidP="00692490">
            <w:pPr>
              <w:spacing w:line="240" w:lineRule="auto"/>
              <w:rPr>
                <w:sz w:val="18"/>
                <w:szCs w:val="18"/>
              </w:rPr>
            </w:pPr>
            <w:r w:rsidRPr="00692490">
              <w:rPr>
                <w:sz w:val="18"/>
                <w:szCs w:val="18"/>
              </w:rPr>
              <w:t> </w:t>
            </w:r>
          </w:p>
        </w:tc>
        <w:tc>
          <w:tcPr>
            <w:tcW w:w="1096" w:type="dxa"/>
            <w:tcBorders>
              <w:top w:val="nil"/>
              <w:left w:val="nil"/>
              <w:bottom w:val="nil"/>
              <w:right w:val="nil"/>
            </w:tcBorders>
            <w:shd w:val="clear" w:color="000000" w:fill="FFFFFF"/>
            <w:noWrap/>
            <w:hideMark/>
          </w:tcPr>
          <w:p w:rsidR="00692490" w:rsidRPr="00692490" w:rsidRDefault="00692490" w:rsidP="00692490">
            <w:pPr>
              <w:spacing w:line="240" w:lineRule="auto"/>
              <w:rPr>
                <w:color w:val="000000"/>
                <w:sz w:val="18"/>
                <w:szCs w:val="18"/>
              </w:rPr>
            </w:pPr>
            <w:r w:rsidRPr="00692490">
              <w:rPr>
                <w:color w:val="000000"/>
                <w:sz w:val="18"/>
                <w:szCs w:val="18"/>
              </w:rPr>
              <w:t> </w:t>
            </w:r>
          </w:p>
        </w:tc>
      </w:tr>
      <w:tr w:rsidR="00692490" w:rsidRPr="00692490" w:rsidTr="00692490">
        <w:trPr>
          <w:trHeight w:val="285"/>
        </w:trPr>
        <w:tc>
          <w:tcPr>
            <w:tcW w:w="173" w:type="dxa"/>
            <w:tcBorders>
              <w:top w:val="nil"/>
              <w:left w:val="nil"/>
              <w:bottom w:val="nil"/>
              <w:right w:val="nil"/>
            </w:tcBorders>
            <w:shd w:val="clear" w:color="000000" w:fill="FFFFFF"/>
            <w:noWrap/>
            <w:hideMark/>
          </w:tcPr>
          <w:p w:rsidR="00692490" w:rsidRPr="00692490" w:rsidRDefault="00692490" w:rsidP="00692490">
            <w:pPr>
              <w:spacing w:line="240" w:lineRule="auto"/>
              <w:rPr>
                <w:color w:val="000000"/>
                <w:sz w:val="18"/>
                <w:szCs w:val="18"/>
              </w:rPr>
            </w:pPr>
            <w:r w:rsidRPr="00692490">
              <w:rPr>
                <w:color w:val="000000"/>
                <w:sz w:val="18"/>
                <w:szCs w:val="18"/>
              </w:rPr>
              <w:t>7</w:t>
            </w:r>
          </w:p>
        </w:tc>
        <w:tc>
          <w:tcPr>
            <w:tcW w:w="5703" w:type="dxa"/>
            <w:tcBorders>
              <w:top w:val="nil"/>
              <w:left w:val="nil"/>
              <w:bottom w:val="nil"/>
              <w:right w:val="nil"/>
            </w:tcBorders>
            <w:shd w:val="clear" w:color="000000" w:fill="FFFFFF"/>
            <w:hideMark/>
          </w:tcPr>
          <w:p w:rsidR="00692490" w:rsidRPr="00692490" w:rsidRDefault="00692490" w:rsidP="00692490">
            <w:pPr>
              <w:spacing w:line="240" w:lineRule="auto"/>
              <w:rPr>
                <w:sz w:val="18"/>
                <w:szCs w:val="18"/>
              </w:rPr>
            </w:pPr>
            <w:r w:rsidRPr="00692490">
              <w:rPr>
                <w:sz w:val="18"/>
                <w:szCs w:val="18"/>
              </w:rPr>
              <w:t>Landbouw en voedsel</w:t>
            </w:r>
          </w:p>
        </w:tc>
        <w:tc>
          <w:tcPr>
            <w:tcW w:w="1096" w:type="dxa"/>
            <w:tcBorders>
              <w:top w:val="nil"/>
              <w:left w:val="nil"/>
              <w:bottom w:val="nil"/>
              <w:right w:val="nil"/>
            </w:tcBorders>
            <w:shd w:val="clear" w:color="000000" w:fill="FFFFFF"/>
            <w:noWrap/>
            <w:hideMark/>
          </w:tcPr>
          <w:p w:rsidR="00692490" w:rsidRPr="00692490" w:rsidRDefault="00692490" w:rsidP="00692490">
            <w:pPr>
              <w:spacing w:line="240" w:lineRule="auto"/>
              <w:rPr>
                <w:color w:val="000000"/>
                <w:sz w:val="18"/>
                <w:szCs w:val="18"/>
              </w:rPr>
            </w:pPr>
            <w:r w:rsidRPr="00692490">
              <w:rPr>
                <w:color w:val="000000"/>
                <w:sz w:val="18"/>
                <w:szCs w:val="18"/>
              </w:rPr>
              <w:t> </w:t>
            </w:r>
          </w:p>
        </w:tc>
      </w:tr>
      <w:tr w:rsidR="00692490" w:rsidRPr="00692490" w:rsidTr="00692490">
        <w:trPr>
          <w:trHeight w:val="285"/>
        </w:trPr>
        <w:tc>
          <w:tcPr>
            <w:tcW w:w="173" w:type="dxa"/>
            <w:tcBorders>
              <w:top w:val="nil"/>
              <w:left w:val="nil"/>
              <w:bottom w:val="nil"/>
              <w:right w:val="nil"/>
            </w:tcBorders>
            <w:shd w:val="clear" w:color="000000" w:fill="FFFFFF"/>
            <w:noWrap/>
            <w:hideMark/>
          </w:tcPr>
          <w:p w:rsidR="00692490" w:rsidRPr="00692490" w:rsidRDefault="00692490" w:rsidP="00692490">
            <w:pPr>
              <w:spacing w:line="240" w:lineRule="auto"/>
              <w:rPr>
                <w:color w:val="000000"/>
                <w:sz w:val="18"/>
                <w:szCs w:val="18"/>
              </w:rPr>
            </w:pPr>
            <w:r w:rsidRPr="00692490">
              <w:rPr>
                <w:color w:val="000000"/>
                <w:sz w:val="18"/>
                <w:szCs w:val="18"/>
              </w:rPr>
              <w:t> </w:t>
            </w:r>
          </w:p>
        </w:tc>
        <w:tc>
          <w:tcPr>
            <w:tcW w:w="5703" w:type="dxa"/>
            <w:tcBorders>
              <w:top w:val="nil"/>
              <w:left w:val="nil"/>
              <w:bottom w:val="nil"/>
              <w:right w:val="nil"/>
            </w:tcBorders>
            <w:shd w:val="clear" w:color="000000" w:fill="FFFFFF"/>
            <w:hideMark/>
          </w:tcPr>
          <w:p w:rsidR="00692490" w:rsidRPr="00692490" w:rsidRDefault="00692490" w:rsidP="00692490">
            <w:pPr>
              <w:spacing w:line="240" w:lineRule="auto"/>
              <w:rPr>
                <w:sz w:val="18"/>
                <w:szCs w:val="18"/>
              </w:rPr>
            </w:pPr>
            <w:r w:rsidRPr="00692490">
              <w:rPr>
                <w:sz w:val="18"/>
                <w:szCs w:val="18"/>
              </w:rPr>
              <w:t>Overheveling middelen landbouw en voedsel</w:t>
            </w:r>
          </w:p>
        </w:tc>
        <w:tc>
          <w:tcPr>
            <w:tcW w:w="1096" w:type="dxa"/>
            <w:tcBorders>
              <w:top w:val="nil"/>
              <w:left w:val="nil"/>
              <w:bottom w:val="nil"/>
              <w:right w:val="nil"/>
            </w:tcBorders>
            <w:shd w:val="clear" w:color="000000" w:fill="FFFFFF"/>
            <w:noWrap/>
            <w:hideMark/>
          </w:tcPr>
          <w:p w:rsidR="00692490" w:rsidRPr="00692490" w:rsidRDefault="00692490" w:rsidP="00692490">
            <w:pPr>
              <w:spacing w:line="240" w:lineRule="auto"/>
              <w:jc w:val="right"/>
              <w:rPr>
                <w:color w:val="000000"/>
                <w:sz w:val="18"/>
                <w:szCs w:val="18"/>
              </w:rPr>
            </w:pPr>
            <w:r w:rsidRPr="00692490">
              <w:rPr>
                <w:color w:val="000000"/>
                <w:sz w:val="18"/>
                <w:szCs w:val="18"/>
              </w:rPr>
              <w:t>6.312.063</w:t>
            </w:r>
          </w:p>
        </w:tc>
      </w:tr>
      <w:tr w:rsidR="00692490" w:rsidRPr="00692490" w:rsidTr="00692490">
        <w:trPr>
          <w:trHeight w:val="285"/>
        </w:trPr>
        <w:tc>
          <w:tcPr>
            <w:tcW w:w="173" w:type="dxa"/>
            <w:tcBorders>
              <w:top w:val="nil"/>
              <w:left w:val="nil"/>
              <w:bottom w:val="nil"/>
              <w:right w:val="nil"/>
            </w:tcBorders>
            <w:shd w:val="clear" w:color="000000" w:fill="FFFFFF"/>
            <w:noWrap/>
            <w:hideMark/>
          </w:tcPr>
          <w:p w:rsidR="00692490" w:rsidRPr="00692490" w:rsidRDefault="00692490" w:rsidP="00692490">
            <w:pPr>
              <w:spacing w:line="240" w:lineRule="auto"/>
              <w:rPr>
                <w:color w:val="000000"/>
                <w:sz w:val="18"/>
                <w:szCs w:val="18"/>
              </w:rPr>
            </w:pPr>
            <w:r w:rsidRPr="00692490">
              <w:rPr>
                <w:color w:val="000000"/>
                <w:sz w:val="18"/>
                <w:szCs w:val="18"/>
              </w:rPr>
              <w:t> </w:t>
            </w:r>
          </w:p>
        </w:tc>
        <w:tc>
          <w:tcPr>
            <w:tcW w:w="5703" w:type="dxa"/>
            <w:tcBorders>
              <w:top w:val="nil"/>
              <w:left w:val="nil"/>
              <w:bottom w:val="nil"/>
              <w:right w:val="nil"/>
            </w:tcBorders>
            <w:shd w:val="clear" w:color="000000" w:fill="FFFFFF"/>
            <w:hideMark/>
          </w:tcPr>
          <w:p w:rsidR="00692490" w:rsidRPr="00692490" w:rsidRDefault="00692490" w:rsidP="00692490">
            <w:pPr>
              <w:spacing w:line="240" w:lineRule="auto"/>
              <w:rPr>
                <w:sz w:val="18"/>
                <w:szCs w:val="18"/>
              </w:rPr>
            </w:pPr>
            <w:r w:rsidRPr="00692490">
              <w:rPr>
                <w:sz w:val="18"/>
                <w:szCs w:val="18"/>
              </w:rPr>
              <w:t> </w:t>
            </w:r>
          </w:p>
        </w:tc>
        <w:tc>
          <w:tcPr>
            <w:tcW w:w="1096" w:type="dxa"/>
            <w:tcBorders>
              <w:top w:val="nil"/>
              <w:left w:val="nil"/>
              <w:bottom w:val="nil"/>
              <w:right w:val="nil"/>
            </w:tcBorders>
            <w:shd w:val="clear" w:color="000000" w:fill="FFFFFF"/>
            <w:noWrap/>
            <w:hideMark/>
          </w:tcPr>
          <w:p w:rsidR="00692490" w:rsidRPr="00692490" w:rsidRDefault="00692490" w:rsidP="00692490">
            <w:pPr>
              <w:spacing w:line="240" w:lineRule="auto"/>
              <w:rPr>
                <w:color w:val="000000"/>
                <w:sz w:val="18"/>
                <w:szCs w:val="18"/>
              </w:rPr>
            </w:pPr>
            <w:r w:rsidRPr="00692490">
              <w:rPr>
                <w:color w:val="000000"/>
                <w:sz w:val="18"/>
                <w:szCs w:val="18"/>
              </w:rPr>
              <w:t> </w:t>
            </w:r>
          </w:p>
        </w:tc>
      </w:tr>
      <w:tr w:rsidR="00692490" w:rsidRPr="00692490" w:rsidTr="00692490">
        <w:trPr>
          <w:trHeight w:val="285"/>
        </w:trPr>
        <w:tc>
          <w:tcPr>
            <w:tcW w:w="173" w:type="dxa"/>
            <w:tcBorders>
              <w:top w:val="nil"/>
              <w:left w:val="nil"/>
              <w:bottom w:val="nil"/>
              <w:right w:val="nil"/>
            </w:tcBorders>
            <w:shd w:val="clear" w:color="000000" w:fill="FFFFFF"/>
            <w:noWrap/>
            <w:hideMark/>
          </w:tcPr>
          <w:p w:rsidR="00692490" w:rsidRPr="00692490" w:rsidRDefault="00692490" w:rsidP="00692490">
            <w:pPr>
              <w:spacing w:line="240" w:lineRule="auto"/>
              <w:rPr>
                <w:color w:val="000000"/>
                <w:sz w:val="18"/>
                <w:szCs w:val="18"/>
              </w:rPr>
            </w:pPr>
            <w:r w:rsidRPr="00692490">
              <w:rPr>
                <w:color w:val="000000"/>
                <w:sz w:val="18"/>
                <w:szCs w:val="18"/>
              </w:rPr>
              <w:t>8</w:t>
            </w:r>
          </w:p>
        </w:tc>
        <w:tc>
          <w:tcPr>
            <w:tcW w:w="5703" w:type="dxa"/>
            <w:tcBorders>
              <w:top w:val="nil"/>
              <w:left w:val="nil"/>
              <w:bottom w:val="nil"/>
              <w:right w:val="nil"/>
            </w:tcBorders>
            <w:shd w:val="clear" w:color="000000" w:fill="FFFFFF"/>
            <w:hideMark/>
          </w:tcPr>
          <w:p w:rsidR="00692490" w:rsidRPr="00692490" w:rsidRDefault="00692490" w:rsidP="00692490">
            <w:pPr>
              <w:spacing w:line="240" w:lineRule="auto"/>
              <w:rPr>
                <w:sz w:val="18"/>
                <w:szCs w:val="18"/>
              </w:rPr>
            </w:pPr>
            <w:r w:rsidRPr="00692490">
              <w:rPr>
                <w:sz w:val="18"/>
                <w:szCs w:val="18"/>
              </w:rPr>
              <w:t>Basisinfrastructuur mobiliteit</w:t>
            </w:r>
          </w:p>
        </w:tc>
        <w:tc>
          <w:tcPr>
            <w:tcW w:w="1096" w:type="dxa"/>
            <w:tcBorders>
              <w:top w:val="nil"/>
              <w:left w:val="nil"/>
              <w:bottom w:val="nil"/>
              <w:right w:val="nil"/>
            </w:tcBorders>
            <w:shd w:val="clear" w:color="000000" w:fill="FFFFFF"/>
            <w:noWrap/>
            <w:hideMark/>
          </w:tcPr>
          <w:p w:rsidR="00692490" w:rsidRPr="00692490" w:rsidRDefault="00692490" w:rsidP="00692490">
            <w:pPr>
              <w:spacing w:line="240" w:lineRule="auto"/>
              <w:rPr>
                <w:color w:val="000000"/>
                <w:sz w:val="18"/>
                <w:szCs w:val="18"/>
              </w:rPr>
            </w:pPr>
            <w:r w:rsidRPr="00692490">
              <w:rPr>
                <w:color w:val="000000"/>
                <w:sz w:val="18"/>
                <w:szCs w:val="18"/>
              </w:rPr>
              <w:t> </w:t>
            </w:r>
          </w:p>
        </w:tc>
      </w:tr>
      <w:tr w:rsidR="00692490" w:rsidRPr="00692490" w:rsidTr="00692490">
        <w:trPr>
          <w:trHeight w:val="285"/>
        </w:trPr>
        <w:tc>
          <w:tcPr>
            <w:tcW w:w="173" w:type="dxa"/>
            <w:tcBorders>
              <w:top w:val="nil"/>
              <w:left w:val="nil"/>
              <w:bottom w:val="nil"/>
              <w:right w:val="nil"/>
            </w:tcBorders>
            <w:shd w:val="clear" w:color="000000" w:fill="FFFFFF"/>
            <w:noWrap/>
            <w:hideMark/>
          </w:tcPr>
          <w:p w:rsidR="00692490" w:rsidRPr="00692490" w:rsidRDefault="00692490" w:rsidP="00692490">
            <w:pPr>
              <w:spacing w:line="240" w:lineRule="auto"/>
              <w:rPr>
                <w:color w:val="000000"/>
                <w:sz w:val="18"/>
                <w:szCs w:val="18"/>
              </w:rPr>
            </w:pPr>
            <w:r w:rsidRPr="00692490">
              <w:rPr>
                <w:color w:val="000000"/>
                <w:sz w:val="18"/>
                <w:szCs w:val="18"/>
              </w:rPr>
              <w:t> </w:t>
            </w:r>
          </w:p>
        </w:tc>
        <w:tc>
          <w:tcPr>
            <w:tcW w:w="5703" w:type="dxa"/>
            <w:tcBorders>
              <w:top w:val="nil"/>
              <w:left w:val="nil"/>
              <w:bottom w:val="nil"/>
              <w:right w:val="nil"/>
            </w:tcBorders>
            <w:shd w:val="clear" w:color="000000" w:fill="FFFFFF"/>
            <w:hideMark/>
          </w:tcPr>
          <w:p w:rsidR="00692490" w:rsidRPr="00692490" w:rsidRDefault="00692490" w:rsidP="00692490">
            <w:pPr>
              <w:spacing w:line="240" w:lineRule="auto"/>
              <w:rPr>
                <w:color w:val="000000"/>
                <w:sz w:val="18"/>
                <w:szCs w:val="18"/>
              </w:rPr>
            </w:pPr>
            <w:r w:rsidRPr="00692490">
              <w:rPr>
                <w:color w:val="000000"/>
                <w:sz w:val="18"/>
                <w:szCs w:val="18"/>
              </w:rPr>
              <w:t> </w:t>
            </w:r>
          </w:p>
        </w:tc>
        <w:tc>
          <w:tcPr>
            <w:tcW w:w="1096" w:type="dxa"/>
            <w:tcBorders>
              <w:top w:val="nil"/>
              <w:left w:val="nil"/>
              <w:bottom w:val="nil"/>
              <w:right w:val="nil"/>
            </w:tcBorders>
            <w:shd w:val="clear" w:color="000000" w:fill="FFFFFF"/>
            <w:noWrap/>
            <w:hideMark/>
          </w:tcPr>
          <w:p w:rsidR="00692490" w:rsidRPr="00692490" w:rsidRDefault="00692490" w:rsidP="00692490">
            <w:pPr>
              <w:spacing w:line="240" w:lineRule="auto"/>
              <w:rPr>
                <w:color w:val="000000"/>
                <w:sz w:val="18"/>
                <w:szCs w:val="18"/>
              </w:rPr>
            </w:pPr>
            <w:r w:rsidRPr="00692490">
              <w:rPr>
                <w:color w:val="000000"/>
                <w:sz w:val="18"/>
                <w:szCs w:val="18"/>
              </w:rPr>
              <w:t> </w:t>
            </w:r>
          </w:p>
        </w:tc>
      </w:tr>
      <w:tr w:rsidR="00692490" w:rsidRPr="00692490" w:rsidTr="00692490">
        <w:trPr>
          <w:trHeight w:val="285"/>
        </w:trPr>
        <w:tc>
          <w:tcPr>
            <w:tcW w:w="173" w:type="dxa"/>
            <w:tcBorders>
              <w:top w:val="nil"/>
              <w:left w:val="nil"/>
              <w:bottom w:val="nil"/>
              <w:right w:val="nil"/>
            </w:tcBorders>
            <w:shd w:val="clear" w:color="000000" w:fill="FFFFFF"/>
            <w:noWrap/>
            <w:hideMark/>
          </w:tcPr>
          <w:p w:rsidR="00692490" w:rsidRPr="00692490" w:rsidRDefault="00692490" w:rsidP="00692490">
            <w:pPr>
              <w:spacing w:line="240" w:lineRule="auto"/>
              <w:rPr>
                <w:color w:val="000000"/>
                <w:sz w:val="18"/>
                <w:szCs w:val="18"/>
              </w:rPr>
            </w:pPr>
            <w:r w:rsidRPr="00692490">
              <w:rPr>
                <w:color w:val="000000"/>
                <w:sz w:val="18"/>
                <w:szCs w:val="18"/>
              </w:rPr>
              <w:t> </w:t>
            </w:r>
          </w:p>
        </w:tc>
        <w:tc>
          <w:tcPr>
            <w:tcW w:w="5703" w:type="dxa"/>
            <w:tcBorders>
              <w:top w:val="nil"/>
              <w:left w:val="nil"/>
              <w:bottom w:val="nil"/>
              <w:right w:val="nil"/>
            </w:tcBorders>
            <w:shd w:val="clear" w:color="000000" w:fill="FFFFFF"/>
            <w:hideMark/>
          </w:tcPr>
          <w:p w:rsidR="00692490" w:rsidRPr="00692490" w:rsidRDefault="00692490" w:rsidP="00692490">
            <w:pPr>
              <w:spacing w:line="240" w:lineRule="auto"/>
              <w:rPr>
                <w:sz w:val="18"/>
                <w:szCs w:val="18"/>
              </w:rPr>
            </w:pPr>
            <w:r w:rsidRPr="00692490">
              <w:rPr>
                <w:sz w:val="18"/>
                <w:szCs w:val="18"/>
              </w:rPr>
              <w:t> </w:t>
            </w:r>
          </w:p>
        </w:tc>
        <w:tc>
          <w:tcPr>
            <w:tcW w:w="1096" w:type="dxa"/>
            <w:tcBorders>
              <w:top w:val="nil"/>
              <w:left w:val="nil"/>
              <w:bottom w:val="nil"/>
              <w:right w:val="nil"/>
            </w:tcBorders>
            <w:shd w:val="clear" w:color="000000" w:fill="FFFFFF"/>
            <w:noWrap/>
            <w:hideMark/>
          </w:tcPr>
          <w:p w:rsidR="00692490" w:rsidRPr="00692490" w:rsidRDefault="00692490" w:rsidP="00692490">
            <w:pPr>
              <w:spacing w:line="240" w:lineRule="auto"/>
              <w:rPr>
                <w:color w:val="000000"/>
                <w:sz w:val="18"/>
                <w:szCs w:val="18"/>
              </w:rPr>
            </w:pPr>
            <w:r w:rsidRPr="00692490">
              <w:rPr>
                <w:color w:val="000000"/>
                <w:sz w:val="18"/>
                <w:szCs w:val="18"/>
              </w:rPr>
              <w:t> </w:t>
            </w:r>
          </w:p>
        </w:tc>
      </w:tr>
      <w:tr w:rsidR="00692490" w:rsidRPr="00692490" w:rsidTr="00692490">
        <w:trPr>
          <w:trHeight w:val="285"/>
        </w:trPr>
        <w:tc>
          <w:tcPr>
            <w:tcW w:w="173" w:type="dxa"/>
            <w:tcBorders>
              <w:top w:val="nil"/>
              <w:left w:val="nil"/>
              <w:bottom w:val="nil"/>
              <w:right w:val="nil"/>
            </w:tcBorders>
            <w:shd w:val="clear" w:color="000000" w:fill="FFFFFF"/>
            <w:noWrap/>
            <w:hideMark/>
          </w:tcPr>
          <w:p w:rsidR="00692490" w:rsidRPr="00692490" w:rsidRDefault="00692490" w:rsidP="00692490">
            <w:pPr>
              <w:spacing w:line="240" w:lineRule="auto"/>
              <w:rPr>
                <w:color w:val="000000"/>
                <w:sz w:val="18"/>
                <w:szCs w:val="18"/>
              </w:rPr>
            </w:pPr>
            <w:r w:rsidRPr="00692490">
              <w:rPr>
                <w:color w:val="000000"/>
                <w:sz w:val="18"/>
                <w:szCs w:val="18"/>
              </w:rPr>
              <w:t> </w:t>
            </w:r>
          </w:p>
        </w:tc>
        <w:tc>
          <w:tcPr>
            <w:tcW w:w="5703" w:type="dxa"/>
            <w:tcBorders>
              <w:top w:val="nil"/>
              <w:left w:val="nil"/>
              <w:bottom w:val="nil"/>
              <w:right w:val="nil"/>
            </w:tcBorders>
            <w:shd w:val="clear" w:color="000000" w:fill="FFFFFF"/>
            <w:hideMark/>
          </w:tcPr>
          <w:p w:rsidR="00692490" w:rsidRPr="00692490" w:rsidRDefault="00692490" w:rsidP="00692490">
            <w:pPr>
              <w:spacing w:line="240" w:lineRule="auto"/>
              <w:rPr>
                <w:sz w:val="18"/>
                <w:szCs w:val="18"/>
              </w:rPr>
            </w:pPr>
            <w:r w:rsidRPr="00692490">
              <w:rPr>
                <w:sz w:val="18"/>
                <w:szCs w:val="18"/>
              </w:rPr>
              <w:t>Algemeen financieel beleid</w:t>
            </w:r>
          </w:p>
        </w:tc>
        <w:tc>
          <w:tcPr>
            <w:tcW w:w="1096" w:type="dxa"/>
            <w:tcBorders>
              <w:top w:val="nil"/>
              <w:left w:val="nil"/>
              <w:bottom w:val="nil"/>
              <w:right w:val="nil"/>
            </w:tcBorders>
            <w:shd w:val="clear" w:color="000000" w:fill="FFFFFF"/>
            <w:noWrap/>
            <w:hideMark/>
          </w:tcPr>
          <w:p w:rsidR="00692490" w:rsidRPr="00692490" w:rsidRDefault="00692490" w:rsidP="00692490">
            <w:pPr>
              <w:spacing w:line="240" w:lineRule="auto"/>
              <w:rPr>
                <w:color w:val="000000"/>
                <w:sz w:val="18"/>
                <w:szCs w:val="18"/>
              </w:rPr>
            </w:pPr>
            <w:r w:rsidRPr="00692490">
              <w:rPr>
                <w:color w:val="000000"/>
                <w:sz w:val="18"/>
                <w:szCs w:val="18"/>
              </w:rPr>
              <w:t> </w:t>
            </w:r>
          </w:p>
        </w:tc>
      </w:tr>
      <w:tr w:rsidR="00692490" w:rsidRPr="00692490" w:rsidTr="00692490">
        <w:trPr>
          <w:trHeight w:val="285"/>
        </w:trPr>
        <w:tc>
          <w:tcPr>
            <w:tcW w:w="173" w:type="dxa"/>
            <w:tcBorders>
              <w:top w:val="nil"/>
              <w:left w:val="nil"/>
              <w:bottom w:val="nil"/>
              <w:right w:val="nil"/>
            </w:tcBorders>
            <w:shd w:val="clear" w:color="000000" w:fill="FFFFFF"/>
            <w:noWrap/>
            <w:hideMark/>
          </w:tcPr>
          <w:p w:rsidR="00692490" w:rsidRPr="00692490" w:rsidRDefault="00692490" w:rsidP="00692490">
            <w:pPr>
              <w:spacing w:line="240" w:lineRule="auto"/>
              <w:rPr>
                <w:color w:val="000000"/>
                <w:sz w:val="18"/>
                <w:szCs w:val="18"/>
              </w:rPr>
            </w:pPr>
            <w:r w:rsidRPr="00692490">
              <w:rPr>
                <w:color w:val="000000"/>
                <w:sz w:val="18"/>
                <w:szCs w:val="18"/>
              </w:rPr>
              <w:t> </w:t>
            </w:r>
          </w:p>
        </w:tc>
        <w:tc>
          <w:tcPr>
            <w:tcW w:w="5703" w:type="dxa"/>
            <w:tcBorders>
              <w:top w:val="nil"/>
              <w:left w:val="nil"/>
              <w:bottom w:val="nil"/>
              <w:right w:val="nil"/>
            </w:tcBorders>
            <w:shd w:val="clear" w:color="000000" w:fill="FFFFFF"/>
            <w:hideMark/>
          </w:tcPr>
          <w:p w:rsidR="00692490" w:rsidRPr="00692490" w:rsidRDefault="00692490" w:rsidP="00692490">
            <w:pPr>
              <w:spacing w:line="240" w:lineRule="auto"/>
              <w:rPr>
                <w:color w:val="000000"/>
                <w:sz w:val="18"/>
                <w:szCs w:val="18"/>
              </w:rPr>
            </w:pPr>
            <w:r w:rsidRPr="00692490">
              <w:rPr>
                <w:color w:val="000000"/>
                <w:sz w:val="18"/>
                <w:szCs w:val="18"/>
              </w:rPr>
              <w:t>Effecten decembercirculaire 2019 mbt MIT 2018 + 2019</w:t>
            </w:r>
          </w:p>
        </w:tc>
        <w:tc>
          <w:tcPr>
            <w:tcW w:w="1096" w:type="dxa"/>
            <w:tcBorders>
              <w:top w:val="nil"/>
              <w:left w:val="nil"/>
              <w:bottom w:val="nil"/>
              <w:right w:val="nil"/>
            </w:tcBorders>
            <w:shd w:val="clear" w:color="000000" w:fill="FFFFFF"/>
            <w:noWrap/>
            <w:hideMark/>
          </w:tcPr>
          <w:p w:rsidR="00692490" w:rsidRPr="00692490" w:rsidRDefault="00692490" w:rsidP="00692490">
            <w:pPr>
              <w:spacing w:line="240" w:lineRule="auto"/>
              <w:jc w:val="right"/>
              <w:rPr>
                <w:color w:val="000000"/>
                <w:sz w:val="18"/>
                <w:szCs w:val="18"/>
              </w:rPr>
            </w:pPr>
            <w:r w:rsidRPr="00692490">
              <w:rPr>
                <w:color w:val="000000"/>
                <w:sz w:val="18"/>
                <w:szCs w:val="18"/>
              </w:rPr>
              <w:t>580.000</w:t>
            </w:r>
          </w:p>
        </w:tc>
      </w:tr>
      <w:tr w:rsidR="00692490" w:rsidRPr="00692490" w:rsidTr="00692490">
        <w:trPr>
          <w:trHeight w:val="285"/>
        </w:trPr>
        <w:tc>
          <w:tcPr>
            <w:tcW w:w="173" w:type="dxa"/>
            <w:tcBorders>
              <w:top w:val="nil"/>
              <w:left w:val="nil"/>
              <w:bottom w:val="nil"/>
              <w:right w:val="nil"/>
            </w:tcBorders>
            <w:shd w:val="clear" w:color="000000" w:fill="FFFFFF"/>
            <w:noWrap/>
            <w:hideMark/>
          </w:tcPr>
          <w:p w:rsidR="00692490" w:rsidRPr="00692490" w:rsidRDefault="00692490" w:rsidP="00692490">
            <w:pPr>
              <w:spacing w:line="240" w:lineRule="auto"/>
              <w:rPr>
                <w:color w:val="000000"/>
                <w:sz w:val="18"/>
                <w:szCs w:val="18"/>
              </w:rPr>
            </w:pPr>
            <w:r w:rsidRPr="00692490">
              <w:rPr>
                <w:color w:val="000000"/>
                <w:sz w:val="18"/>
                <w:szCs w:val="18"/>
              </w:rPr>
              <w:t> </w:t>
            </w:r>
          </w:p>
        </w:tc>
        <w:tc>
          <w:tcPr>
            <w:tcW w:w="5703" w:type="dxa"/>
            <w:tcBorders>
              <w:top w:val="nil"/>
              <w:left w:val="nil"/>
              <w:bottom w:val="nil"/>
              <w:right w:val="nil"/>
            </w:tcBorders>
            <w:shd w:val="clear" w:color="000000" w:fill="FFFFFF"/>
            <w:hideMark/>
          </w:tcPr>
          <w:p w:rsidR="00692490" w:rsidRPr="00692490" w:rsidRDefault="00692490" w:rsidP="00692490">
            <w:pPr>
              <w:spacing w:line="240" w:lineRule="auto"/>
              <w:rPr>
                <w:color w:val="000000"/>
                <w:sz w:val="18"/>
                <w:szCs w:val="18"/>
              </w:rPr>
            </w:pPr>
            <w:r w:rsidRPr="00692490">
              <w:rPr>
                <w:color w:val="000000"/>
                <w:sz w:val="18"/>
                <w:szCs w:val="18"/>
              </w:rPr>
              <w:t> </w:t>
            </w:r>
          </w:p>
        </w:tc>
        <w:tc>
          <w:tcPr>
            <w:tcW w:w="1096" w:type="dxa"/>
            <w:tcBorders>
              <w:top w:val="nil"/>
              <w:left w:val="nil"/>
              <w:bottom w:val="nil"/>
              <w:right w:val="nil"/>
            </w:tcBorders>
            <w:shd w:val="clear" w:color="000000" w:fill="FFFFFF"/>
            <w:noWrap/>
            <w:hideMark/>
          </w:tcPr>
          <w:p w:rsidR="00692490" w:rsidRPr="00692490" w:rsidRDefault="00692490" w:rsidP="00692490">
            <w:pPr>
              <w:spacing w:line="240" w:lineRule="auto"/>
              <w:rPr>
                <w:color w:val="000000"/>
                <w:sz w:val="18"/>
                <w:szCs w:val="18"/>
              </w:rPr>
            </w:pPr>
            <w:r w:rsidRPr="00692490">
              <w:rPr>
                <w:color w:val="000000"/>
                <w:sz w:val="18"/>
                <w:szCs w:val="18"/>
              </w:rPr>
              <w:t> </w:t>
            </w:r>
          </w:p>
        </w:tc>
      </w:tr>
      <w:tr w:rsidR="00692490" w:rsidRPr="00692490" w:rsidTr="00692490">
        <w:trPr>
          <w:trHeight w:val="300"/>
        </w:trPr>
        <w:tc>
          <w:tcPr>
            <w:tcW w:w="173" w:type="dxa"/>
            <w:tcBorders>
              <w:top w:val="nil"/>
              <w:left w:val="nil"/>
              <w:bottom w:val="nil"/>
              <w:right w:val="nil"/>
            </w:tcBorders>
            <w:shd w:val="clear" w:color="000000" w:fill="FFFFFF"/>
            <w:noWrap/>
            <w:hideMark/>
          </w:tcPr>
          <w:p w:rsidR="00692490" w:rsidRPr="00692490" w:rsidRDefault="00692490" w:rsidP="00692490">
            <w:pPr>
              <w:spacing w:line="240" w:lineRule="auto"/>
              <w:rPr>
                <w:color w:val="000000"/>
                <w:sz w:val="18"/>
                <w:szCs w:val="18"/>
              </w:rPr>
            </w:pPr>
            <w:r w:rsidRPr="00692490">
              <w:rPr>
                <w:color w:val="000000"/>
                <w:sz w:val="18"/>
                <w:szCs w:val="18"/>
              </w:rPr>
              <w:t> </w:t>
            </w:r>
          </w:p>
        </w:tc>
        <w:tc>
          <w:tcPr>
            <w:tcW w:w="5703" w:type="dxa"/>
            <w:tcBorders>
              <w:top w:val="nil"/>
              <w:left w:val="nil"/>
              <w:bottom w:val="nil"/>
              <w:right w:val="nil"/>
            </w:tcBorders>
            <w:shd w:val="clear" w:color="000000" w:fill="FFFFFF"/>
            <w:hideMark/>
          </w:tcPr>
          <w:p w:rsidR="00692490" w:rsidRPr="00692490" w:rsidRDefault="00692490" w:rsidP="00692490">
            <w:pPr>
              <w:spacing w:line="240" w:lineRule="auto"/>
              <w:rPr>
                <w:color w:val="000000"/>
                <w:sz w:val="18"/>
                <w:szCs w:val="18"/>
              </w:rPr>
            </w:pPr>
            <w:r w:rsidRPr="00692490">
              <w:rPr>
                <w:color w:val="000000"/>
                <w:sz w:val="18"/>
                <w:szCs w:val="18"/>
              </w:rPr>
              <w:t>Totaal overhevelingsvoorstellen</w:t>
            </w:r>
          </w:p>
        </w:tc>
        <w:tc>
          <w:tcPr>
            <w:tcW w:w="1096" w:type="dxa"/>
            <w:tcBorders>
              <w:top w:val="single" w:sz="4" w:space="0" w:color="auto"/>
              <w:left w:val="nil"/>
              <w:bottom w:val="double" w:sz="6" w:space="0" w:color="auto"/>
              <w:right w:val="nil"/>
            </w:tcBorders>
            <w:shd w:val="clear" w:color="000000" w:fill="FFFFFF"/>
            <w:noWrap/>
            <w:hideMark/>
          </w:tcPr>
          <w:p w:rsidR="00692490" w:rsidRPr="00692490" w:rsidRDefault="00692490" w:rsidP="00692490">
            <w:pPr>
              <w:spacing w:line="240" w:lineRule="auto"/>
              <w:jc w:val="right"/>
              <w:rPr>
                <w:color w:val="000000"/>
                <w:sz w:val="18"/>
                <w:szCs w:val="18"/>
              </w:rPr>
            </w:pPr>
            <w:r w:rsidRPr="00692490">
              <w:rPr>
                <w:color w:val="000000"/>
                <w:sz w:val="18"/>
                <w:szCs w:val="18"/>
              </w:rPr>
              <w:t>13.158.276</w:t>
            </w:r>
          </w:p>
        </w:tc>
      </w:tr>
    </w:tbl>
    <w:p w:rsidR="008604B9" w:rsidRDefault="008604B9" w:rsidP="008604B9">
      <w:pPr>
        <w:tabs>
          <w:tab w:val="right" w:pos="7380"/>
        </w:tabs>
        <w:rPr>
          <w:szCs w:val="20"/>
        </w:rPr>
      </w:pPr>
    </w:p>
    <w:p w:rsidR="008604B9" w:rsidRPr="00DD2FD8" w:rsidRDefault="008604B9" w:rsidP="008604B9">
      <w:pPr>
        <w:tabs>
          <w:tab w:val="right" w:pos="7380"/>
        </w:tabs>
        <w:rPr>
          <w:szCs w:val="20"/>
        </w:rPr>
      </w:pPr>
      <w:r w:rsidRPr="00DD2FD8">
        <w:rPr>
          <w:szCs w:val="20"/>
        </w:rPr>
        <w:t>Een toelichting op deze overhevelingen is opgenomen in bijlage 3.</w:t>
      </w:r>
    </w:p>
    <w:p w:rsidR="008604B9" w:rsidRDefault="008604B9" w:rsidP="008604B9"/>
    <w:p w:rsidR="008604B9" w:rsidRDefault="00663B77" w:rsidP="008604B9">
      <w:r>
        <w:t>Daarnaast worden drie</w:t>
      </w:r>
      <w:r w:rsidR="008604B9">
        <w:t xml:space="preserve"> overhevelingsvoorstellen voorgelegd die weliswaar niet volledig aan de afgesproken criteria voldoen, maar waarvoor het wel van belang is dat in verband met voortzetting van de activiteiten de daarvoor benodigde middelen beschikbaar blijven.</w:t>
      </w:r>
    </w:p>
    <w:p w:rsidR="008604B9" w:rsidRDefault="008604B9" w:rsidP="008604B9"/>
    <w:tbl>
      <w:tblPr>
        <w:tblW w:w="6972" w:type="dxa"/>
        <w:tblCellMar>
          <w:left w:w="70" w:type="dxa"/>
          <w:right w:w="70" w:type="dxa"/>
        </w:tblCellMar>
        <w:tblLook w:val="04A0" w:firstRow="1" w:lastRow="0" w:firstColumn="1" w:lastColumn="0" w:noHBand="0" w:noVBand="1"/>
      </w:tblPr>
      <w:tblGrid>
        <w:gridCol w:w="252"/>
        <w:gridCol w:w="5624"/>
        <w:gridCol w:w="1096"/>
      </w:tblGrid>
      <w:tr w:rsidR="008604B9" w:rsidRPr="0013641F" w:rsidTr="00E35F38">
        <w:trPr>
          <w:trHeight w:val="285"/>
        </w:trPr>
        <w:tc>
          <w:tcPr>
            <w:tcW w:w="5876" w:type="dxa"/>
            <w:gridSpan w:val="2"/>
            <w:tcBorders>
              <w:top w:val="single" w:sz="4" w:space="0" w:color="auto"/>
              <w:left w:val="nil"/>
              <w:bottom w:val="nil"/>
              <w:right w:val="nil"/>
            </w:tcBorders>
            <w:shd w:val="clear" w:color="000000" w:fill="FFFFFF"/>
            <w:noWrap/>
            <w:hideMark/>
          </w:tcPr>
          <w:p w:rsidR="008604B9" w:rsidRPr="0013641F" w:rsidRDefault="008604B9" w:rsidP="00E35F38">
            <w:pPr>
              <w:spacing w:line="240" w:lineRule="auto"/>
              <w:rPr>
                <w:color w:val="000000"/>
                <w:sz w:val="18"/>
                <w:szCs w:val="18"/>
              </w:rPr>
            </w:pPr>
            <w:r w:rsidRPr="0013641F">
              <w:rPr>
                <w:color w:val="000000"/>
                <w:sz w:val="18"/>
                <w:szCs w:val="18"/>
              </w:rPr>
              <w:t>Overige overhevelingsvoorstellen</w:t>
            </w:r>
          </w:p>
        </w:tc>
        <w:tc>
          <w:tcPr>
            <w:tcW w:w="1096" w:type="dxa"/>
            <w:tcBorders>
              <w:top w:val="single" w:sz="4" w:space="0" w:color="auto"/>
              <w:left w:val="nil"/>
              <w:bottom w:val="nil"/>
              <w:right w:val="nil"/>
            </w:tcBorders>
            <w:shd w:val="clear" w:color="000000" w:fill="FFFFFF"/>
            <w:noWrap/>
            <w:hideMark/>
          </w:tcPr>
          <w:p w:rsidR="008604B9" w:rsidRPr="0013641F" w:rsidRDefault="008604B9" w:rsidP="00E35F38">
            <w:pPr>
              <w:spacing w:line="240" w:lineRule="auto"/>
              <w:rPr>
                <w:color w:val="000000"/>
                <w:sz w:val="18"/>
                <w:szCs w:val="18"/>
              </w:rPr>
            </w:pPr>
            <w:r w:rsidRPr="0013641F">
              <w:rPr>
                <w:color w:val="000000"/>
                <w:sz w:val="18"/>
                <w:szCs w:val="18"/>
              </w:rPr>
              <w:t> </w:t>
            </w:r>
          </w:p>
        </w:tc>
      </w:tr>
      <w:tr w:rsidR="008604B9" w:rsidRPr="0013641F" w:rsidTr="00E35F38">
        <w:trPr>
          <w:trHeight w:val="300"/>
        </w:trPr>
        <w:tc>
          <w:tcPr>
            <w:tcW w:w="5876" w:type="dxa"/>
            <w:gridSpan w:val="2"/>
            <w:tcBorders>
              <w:top w:val="nil"/>
              <w:left w:val="nil"/>
              <w:bottom w:val="single" w:sz="8" w:space="0" w:color="auto"/>
              <w:right w:val="nil"/>
            </w:tcBorders>
            <w:shd w:val="clear" w:color="000000" w:fill="FFFFFF"/>
            <w:noWrap/>
            <w:hideMark/>
          </w:tcPr>
          <w:p w:rsidR="008604B9" w:rsidRPr="0013641F" w:rsidRDefault="008604B9" w:rsidP="00E35F38">
            <w:pPr>
              <w:spacing w:line="240" w:lineRule="auto"/>
              <w:rPr>
                <w:color w:val="000000"/>
                <w:sz w:val="18"/>
                <w:szCs w:val="18"/>
              </w:rPr>
            </w:pPr>
            <w:r w:rsidRPr="0013641F">
              <w:rPr>
                <w:color w:val="000000"/>
                <w:sz w:val="18"/>
                <w:szCs w:val="18"/>
              </w:rPr>
              <w:t xml:space="preserve">Programma </w:t>
            </w:r>
          </w:p>
        </w:tc>
        <w:tc>
          <w:tcPr>
            <w:tcW w:w="1096" w:type="dxa"/>
            <w:tcBorders>
              <w:top w:val="nil"/>
              <w:left w:val="nil"/>
              <w:bottom w:val="single" w:sz="8" w:space="0" w:color="auto"/>
              <w:right w:val="nil"/>
            </w:tcBorders>
            <w:shd w:val="clear" w:color="000000" w:fill="FFFFFF"/>
            <w:noWrap/>
            <w:hideMark/>
          </w:tcPr>
          <w:p w:rsidR="008604B9" w:rsidRPr="0013641F" w:rsidRDefault="008604B9" w:rsidP="00E35F38">
            <w:pPr>
              <w:spacing w:line="240" w:lineRule="auto"/>
              <w:jc w:val="center"/>
              <w:rPr>
                <w:color w:val="000000"/>
                <w:sz w:val="18"/>
                <w:szCs w:val="18"/>
              </w:rPr>
            </w:pPr>
            <w:r w:rsidRPr="0013641F">
              <w:rPr>
                <w:color w:val="000000"/>
                <w:sz w:val="18"/>
                <w:szCs w:val="18"/>
              </w:rPr>
              <w:t>€</w:t>
            </w:r>
          </w:p>
        </w:tc>
      </w:tr>
      <w:tr w:rsidR="008604B9" w:rsidRPr="0013641F" w:rsidTr="00E35F38">
        <w:trPr>
          <w:trHeight w:val="285"/>
        </w:trPr>
        <w:tc>
          <w:tcPr>
            <w:tcW w:w="178" w:type="dxa"/>
            <w:tcBorders>
              <w:top w:val="nil"/>
              <w:left w:val="nil"/>
              <w:bottom w:val="nil"/>
              <w:right w:val="nil"/>
            </w:tcBorders>
            <w:shd w:val="clear" w:color="000000" w:fill="FFFFFF"/>
            <w:noWrap/>
            <w:hideMark/>
          </w:tcPr>
          <w:p w:rsidR="008604B9" w:rsidRPr="0013641F" w:rsidRDefault="008604B9" w:rsidP="00E35F38">
            <w:pPr>
              <w:spacing w:line="240" w:lineRule="auto"/>
              <w:rPr>
                <w:color w:val="000000"/>
                <w:sz w:val="18"/>
                <w:szCs w:val="18"/>
              </w:rPr>
            </w:pPr>
            <w:r w:rsidRPr="0013641F">
              <w:rPr>
                <w:color w:val="000000"/>
                <w:sz w:val="18"/>
                <w:szCs w:val="18"/>
              </w:rPr>
              <w:t>3</w:t>
            </w:r>
          </w:p>
        </w:tc>
        <w:tc>
          <w:tcPr>
            <w:tcW w:w="5698" w:type="dxa"/>
            <w:tcBorders>
              <w:top w:val="nil"/>
              <w:left w:val="nil"/>
              <w:bottom w:val="nil"/>
              <w:right w:val="nil"/>
            </w:tcBorders>
            <w:shd w:val="clear" w:color="000000" w:fill="FFFFFF"/>
            <w:hideMark/>
          </w:tcPr>
          <w:p w:rsidR="008604B9" w:rsidRPr="0013641F" w:rsidRDefault="008604B9" w:rsidP="00E35F38">
            <w:pPr>
              <w:spacing w:line="240" w:lineRule="auto"/>
              <w:rPr>
                <w:sz w:val="18"/>
                <w:szCs w:val="18"/>
              </w:rPr>
            </w:pPr>
            <w:r w:rsidRPr="0013641F">
              <w:rPr>
                <w:sz w:val="18"/>
                <w:szCs w:val="18"/>
              </w:rPr>
              <w:t>Water en Bodem</w:t>
            </w:r>
          </w:p>
        </w:tc>
        <w:tc>
          <w:tcPr>
            <w:tcW w:w="1096" w:type="dxa"/>
            <w:tcBorders>
              <w:top w:val="nil"/>
              <w:left w:val="nil"/>
              <w:bottom w:val="nil"/>
              <w:right w:val="nil"/>
            </w:tcBorders>
            <w:shd w:val="clear" w:color="000000" w:fill="FFFFFF"/>
            <w:noWrap/>
            <w:hideMark/>
          </w:tcPr>
          <w:p w:rsidR="008604B9" w:rsidRPr="0013641F" w:rsidRDefault="008604B9" w:rsidP="00E35F38">
            <w:pPr>
              <w:spacing w:line="240" w:lineRule="auto"/>
              <w:rPr>
                <w:color w:val="000000"/>
                <w:sz w:val="18"/>
                <w:szCs w:val="18"/>
              </w:rPr>
            </w:pPr>
            <w:r w:rsidRPr="0013641F">
              <w:rPr>
                <w:color w:val="000000"/>
                <w:sz w:val="18"/>
                <w:szCs w:val="18"/>
              </w:rPr>
              <w:t> </w:t>
            </w:r>
          </w:p>
        </w:tc>
      </w:tr>
      <w:tr w:rsidR="008604B9" w:rsidRPr="0013641F" w:rsidTr="00E35F38">
        <w:trPr>
          <w:trHeight w:val="285"/>
        </w:trPr>
        <w:tc>
          <w:tcPr>
            <w:tcW w:w="178" w:type="dxa"/>
            <w:tcBorders>
              <w:top w:val="nil"/>
              <w:left w:val="nil"/>
              <w:bottom w:val="nil"/>
              <w:right w:val="nil"/>
            </w:tcBorders>
            <w:shd w:val="clear" w:color="000000" w:fill="FFFFFF"/>
            <w:noWrap/>
            <w:hideMark/>
          </w:tcPr>
          <w:p w:rsidR="008604B9" w:rsidRPr="0013641F" w:rsidRDefault="008604B9" w:rsidP="00E35F38">
            <w:pPr>
              <w:spacing w:line="240" w:lineRule="auto"/>
              <w:rPr>
                <w:color w:val="000000"/>
                <w:sz w:val="18"/>
                <w:szCs w:val="18"/>
              </w:rPr>
            </w:pPr>
            <w:r w:rsidRPr="0013641F">
              <w:rPr>
                <w:color w:val="000000"/>
                <w:sz w:val="18"/>
                <w:szCs w:val="18"/>
              </w:rPr>
              <w:t> </w:t>
            </w:r>
          </w:p>
        </w:tc>
        <w:tc>
          <w:tcPr>
            <w:tcW w:w="5698" w:type="dxa"/>
            <w:tcBorders>
              <w:top w:val="nil"/>
              <w:left w:val="nil"/>
              <w:bottom w:val="nil"/>
              <w:right w:val="nil"/>
            </w:tcBorders>
            <w:shd w:val="clear" w:color="000000" w:fill="FFFFFF"/>
            <w:hideMark/>
          </w:tcPr>
          <w:p w:rsidR="008604B9" w:rsidRPr="0013641F" w:rsidRDefault="008604B9" w:rsidP="00E35F38">
            <w:pPr>
              <w:spacing w:line="240" w:lineRule="auto"/>
              <w:rPr>
                <w:sz w:val="18"/>
                <w:szCs w:val="18"/>
              </w:rPr>
            </w:pPr>
            <w:r w:rsidRPr="0013641F">
              <w:rPr>
                <w:sz w:val="18"/>
                <w:szCs w:val="18"/>
              </w:rPr>
              <w:t>Overheveling 2e bestuursovereenkomst waterschappen</w:t>
            </w:r>
            <w:r>
              <w:rPr>
                <w:sz w:val="18"/>
                <w:szCs w:val="18"/>
              </w:rPr>
              <w:t>*</w:t>
            </w:r>
          </w:p>
        </w:tc>
        <w:tc>
          <w:tcPr>
            <w:tcW w:w="1096" w:type="dxa"/>
            <w:tcBorders>
              <w:top w:val="nil"/>
              <w:left w:val="nil"/>
              <w:bottom w:val="nil"/>
              <w:right w:val="nil"/>
            </w:tcBorders>
            <w:shd w:val="clear" w:color="000000" w:fill="FFFFFF"/>
            <w:noWrap/>
            <w:hideMark/>
          </w:tcPr>
          <w:p w:rsidR="008604B9" w:rsidRPr="0013641F" w:rsidRDefault="008604B9" w:rsidP="00E35F38">
            <w:pPr>
              <w:spacing w:line="240" w:lineRule="auto"/>
              <w:jc w:val="right"/>
              <w:rPr>
                <w:color w:val="000000"/>
                <w:sz w:val="18"/>
                <w:szCs w:val="18"/>
              </w:rPr>
            </w:pPr>
            <w:r w:rsidRPr="0013641F">
              <w:rPr>
                <w:color w:val="000000"/>
                <w:sz w:val="18"/>
                <w:szCs w:val="18"/>
              </w:rPr>
              <w:t>4.783.093</w:t>
            </w:r>
          </w:p>
        </w:tc>
      </w:tr>
      <w:tr w:rsidR="008604B9" w:rsidRPr="0013641F" w:rsidTr="00E35F38">
        <w:trPr>
          <w:trHeight w:val="285"/>
        </w:trPr>
        <w:tc>
          <w:tcPr>
            <w:tcW w:w="178" w:type="dxa"/>
            <w:tcBorders>
              <w:top w:val="nil"/>
              <w:left w:val="nil"/>
              <w:bottom w:val="nil"/>
              <w:right w:val="nil"/>
            </w:tcBorders>
            <w:shd w:val="clear" w:color="000000" w:fill="FFFFFF"/>
            <w:noWrap/>
            <w:hideMark/>
          </w:tcPr>
          <w:p w:rsidR="008604B9" w:rsidRPr="0013641F" w:rsidRDefault="008604B9" w:rsidP="00E35F38">
            <w:pPr>
              <w:spacing w:line="240" w:lineRule="auto"/>
              <w:rPr>
                <w:color w:val="000000"/>
                <w:sz w:val="18"/>
                <w:szCs w:val="18"/>
              </w:rPr>
            </w:pPr>
            <w:r w:rsidRPr="0013641F">
              <w:rPr>
                <w:color w:val="000000"/>
                <w:sz w:val="18"/>
                <w:szCs w:val="18"/>
              </w:rPr>
              <w:t> </w:t>
            </w:r>
          </w:p>
        </w:tc>
        <w:tc>
          <w:tcPr>
            <w:tcW w:w="5698" w:type="dxa"/>
            <w:tcBorders>
              <w:top w:val="nil"/>
              <w:left w:val="nil"/>
              <w:bottom w:val="nil"/>
              <w:right w:val="nil"/>
            </w:tcBorders>
            <w:shd w:val="clear" w:color="000000" w:fill="FFFFFF"/>
            <w:hideMark/>
          </w:tcPr>
          <w:p w:rsidR="008604B9" w:rsidRPr="0013641F" w:rsidRDefault="008604B9" w:rsidP="00E35F38">
            <w:pPr>
              <w:spacing w:line="240" w:lineRule="auto"/>
              <w:rPr>
                <w:sz w:val="18"/>
                <w:szCs w:val="18"/>
              </w:rPr>
            </w:pPr>
            <w:r w:rsidRPr="0013641F">
              <w:rPr>
                <w:sz w:val="18"/>
                <w:szCs w:val="18"/>
              </w:rPr>
              <w:t> </w:t>
            </w:r>
          </w:p>
        </w:tc>
        <w:tc>
          <w:tcPr>
            <w:tcW w:w="1096" w:type="dxa"/>
            <w:tcBorders>
              <w:top w:val="nil"/>
              <w:left w:val="nil"/>
              <w:bottom w:val="nil"/>
              <w:right w:val="nil"/>
            </w:tcBorders>
            <w:shd w:val="clear" w:color="000000" w:fill="FFFFFF"/>
            <w:noWrap/>
            <w:hideMark/>
          </w:tcPr>
          <w:p w:rsidR="008604B9" w:rsidRPr="0013641F" w:rsidRDefault="008604B9" w:rsidP="00E35F38">
            <w:pPr>
              <w:spacing w:line="240" w:lineRule="auto"/>
              <w:rPr>
                <w:color w:val="000000"/>
                <w:sz w:val="18"/>
                <w:szCs w:val="18"/>
              </w:rPr>
            </w:pPr>
            <w:r w:rsidRPr="0013641F">
              <w:rPr>
                <w:color w:val="000000"/>
                <w:sz w:val="18"/>
                <w:szCs w:val="18"/>
              </w:rPr>
              <w:t> </w:t>
            </w:r>
          </w:p>
        </w:tc>
      </w:tr>
      <w:tr w:rsidR="008604B9" w:rsidRPr="0013641F" w:rsidTr="00E35F38">
        <w:trPr>
          <w:trHeight w:val="285"/>
        </w:trPr>
        <w:tc>
          <w:tcPr>
            <w:tcW w:w="178" w:type="dxa"/>
            <w:tcBorders>
              <w:top w:val="nil"/>
              <w:left w:val="nil"/>
              <w:bottom w:val="nil"/>
              <w:right w:val="nil"/>
            </w:tcBorders>
            <w:shd w:val="clear" w:color="000000" w:fill="FFFFFF"/>
            <w:noWrap/>
            <w:hideMark/>
          </w:tcPr>
          <w:p w:rsidR="008604B9" w:rsidRPr="0013641F" w:rsidRDefault="008604B9" w:rsidP="00E35F38">
            <w:pPr>
              <w:spacing w:line="240" w:lineRule="auto"/>
              <w:rPr>
                <w:color w:val="000000"/>
                <w:sz w:val="18"/>
                <w:szCs w:val="18"/>
              </w:rPr>
            </w:pPr>
            <w:r w:rsidRPr="0013641F">
              <w:rPr>
                <w:color w:val="000000"/>
                <w:sz w:val="18"/>
                <w:szCs w:val="18"/>
              </w:rPr>
              <w:t>4</w:t>
            </w:r>
          </w:p>
        </w:tc>
        <w:tc>
          <w:tcPr>
            <w:tcW w:w="5698" w:type="dxa"/>
            <w:tcBorders>
              <w:top w:val="nil"/>
              <w:left w:val="nil"/>
              <w:bottom w:val="nil"/>
              <w:right w:val="nil"/>
            </w:tcBorders>
            <w:shd w:val="clear" w:color="000000" w:fill="FFFFFF"/>
            <w:hideMark/>
          </w:tcPr>
          <w:p w:rsidR="008604B9" w:rsidRPr="0013641F" w:rsidRDefault="008604B9" w:rsidP="00E35F38">
            <w:pPr>
              <w:spacing w:line="240" w:lineRule="auto"/>
              <w:rPr>
                <w:sz w:val="18"/>
                <w:szCs w:val="18"/>
              </w:rPr>
            </w:pPr>
            <w:r w:rsidRPr="0013641F">
              <w:rPr>
                <w:sz w:val="18"/>
                <w:szCs w:val="18"/>
              </w:rPr>
              <w:t>Natuur en milieu</w:t>
            </w:r>
          </w:p>
        </w:tc>
        <w:tc>
          <w:tcPr>
            <w:tcW w:w="1096" w:type="dxa"/>
            <w:tcBorders>
              <w:top w:val="nil"/>
              <w:left w:val="nil"/>
              <w:bottom w:val="nil"/>
              <w:right w:val="nil"/>
            </w:tcBorders>
            <w:shd w:val="clear" w:color="000000" w:fill="FFFFFF"/>
            <w:noWrap/>
            <w:hideMark/>
          </w:tcPr>
          <w:p w:rsidR="008604B9" w:rsidRPr="0013641F" w:rsidRDefault="008604B9" w:rsidP="00E35F38">
            <w:pPr>
              <w:spacing w:line="240" w:lineRule="auto"/>
              <w:rPr>
                <w:color w:val="000000"/>
                <w:sz w:val="18"/>
                <w:szCs w:val="18"/>
              </w:rPr>
            </w:pPr>
            <w:r w:rsidRPr="0013641F">
              <w:rPr>
                <w:color w:val="000000"/>
                <w:sz w:val="18"/>
                <w:szCs w:val="18"/>
              </w:rPr>
              <w:t> </w:t>
            </w:r>
          </w:p>
        </w:tc>
      </w:tr>
      <w:tr w:rsidR="008604B9" w:rsidRPr="0013641F" w:rsidTr="00E35F38">
        <w:trPr>
          <w:trHeight w:val="285"/>
        </w:trPr>
        <w:tc>
          <w:tcPr>
            <w:tcW w:w="178" w:type="dxa"/>
            <w:tcBorders>
              <w:top w:val="nil"/>
              <w:left w:val="nil"/>
              <w:bottom w:val="nil"/>
              <w:right w:val="nil"/>
            </w:tcBorders>
            <w:shd w:val="clear" w:color="000000" w:fill="FFFFFF"/>
            <w:noWrap/>
            <w:hideMark/>
          </w:tcPr>
          <w:p w:rsidR="008604B9" w:rsidRPr="0013641F" w:rsidRDefault="008604B9" w:rsidP="00E35F38">
            <w:pPr>
              <w:spacing w:line="240" w:lineRule="auto"/>
              <w:rPr>
                <w:color w:val="000000"/>
                <w:sz w:val="18"/>
                <w:szCs w:val="18"/>
              </w:rPr>
            </w:pPr>
            <w:r w:rsidRPr="0013641F">
              <w:rPr>
                <w:color w:val="000000"/>
                <w:sz w:val="18"/>
                <w:szCs w:val="18"/>
              </w:rPr>
              <w:t> </w:t>
            </w:r>
          </w:p>
        </w:tc>
        <w:tc>
          <w:tcPr>
            <w:tcW w:w="5698" w:type="dxa"/>
            <w:tcBorders>
              <w:top w:val="nil"/>
              <w:left w:val="nil"/>
              <w:bottom w:val="nil"/>
              <w:right w:val="nil"/>
            </w:tcBorders>
            <w:shd w:val="clear" w:color="000000" w:fill="FFFFFF"/>
            <w:hideMark/>
          </w:tcPr>
          <w:p w:rsidR="008604B9" w:rsidRPr="0013641F" w:rsidRDefault="008604B9" w:rsidP="00E35F38">
            <w:pPr>
              <w:spacing w:line="240" w:lineRule="auto"/>
              <w:rPr>
                <w:sz w:val="18"/>
                <w:szCs w:val="18"/>
              </w:rPr>
            </w:pPr>
            <w:r w:rsidRPr="0013641F">
              <w:rPr>
                <w:sz w:val="18"/>
                <w:szCs w:val="18"/>
              </w:rPr>
              <w:t>MER advieskosten</w:t>
            </w:r>
            <w:r>
              <w:rPr>
                <w:sz w:val="18"/>
                <w:szCs w:val="18"/>
              </w:rPr>
              <w:t>**</w:t>
            </w:r>
          </w:p>
        </w:tc>
        <w:tc>
          <w:tcPr>
            <w:tcW w:w="1096" w:type="dxa"/>
            <w:tcBorders>
              <w:top w:val="nil"/>
              <w:left w:val="nil"/>
              <w:bottom w:val="nil"/>
              <w:right w:val="nil"/>
            </w:tcBorders>
            <w:shd w:val="clear" w:color="000000" w:fill="FFFFFF"/>
            <w:noWrap/>
            <w:hideMark/>
          </w:tcPr>
          <w:p w:rsidR="008604B9" w:rsidRPr="0013641F" w:rsidRDefault="008604B9" w:rsidP="00E35F38">
            <w:pPr>
              <w:spacing w:line="240" w:lineRule="auto"/>
              <w:jc w:val="right"/>
              <w:rPr>
                <w:color w:val="000000"/>
                <w:sz w:val="18"/>
                <w:szCs w:val="18"/>
              </w:rPr>
            </w:pPr>
            <w:r w:rsidRPr="0013641F">
              <w:rPr>
                <w:color w:val="000000"/>
                <w:sz w:val="18"/>
                <w:szCs w:val="18"/>
              </w:rPr>
              <w:t>99.411</w:t>
            </w:r>
          </w:p>
        </w:tc>
      </w:tr>
      <w:tr w:rsidR="008604B9" w:rsidRPr="0013641F" w:rsidTr="00E35F38">
        <w:trPr>
          <w:trHeight w:val="285"/>
        </w:trPr>
        <w:tc>
          <w:tcPr>
            <w:tcW w:w="178" w:type="dxa"/>
            <w:tcBorders>
              <w:top w:val="nil"/>
              <w:left w:val="nil"/>
              <w:bottom w:val="nil"/>
              <w:right w:val="nil"/>
            </w:tcBorders>
            <w:shd w:val="clear" w:color="000000" w:fill="FFFFFF"/>
            <w:noWrap/>
            <w:hideMark/>
          </w:tcPr>
          <w:p w:rsidR="008604B9" w:rsidRPr="0013641F" w:rsidRDefault="008604B9" w:rsidP="00E35F38">
            <w:pPr>
              <w:spacing w:line="240" w:lineRule="auto"/>
              <w:rPr>
                <w:color w:val="000000"/>
                <w:sz w:val="18"/>
                <w:szCs w:val="18"/>
              </w:rPr>
            </w:pPr>
            <w:r w:rsidRPr="0013641F">
              <w:rPr>
                <w:color w:val="000000"/>
                <w:sz w:val="18"/>
                <w:szCs w:val="18"/>
              </w:rPr>
              <w:t> </w:t>
            </w:r>
          </w:p>
        </w:tc>
        <w:tc>
          <w:tcPr>
            <w:tcW w:w="5698" w:type="dxa"/>
            <w:tcBorders>
              <w:top w:val="nil"/>
              <w:left w:val="nil"/>
              <w:bottom w:val="nil"/>
              <w:right w:val="nil"/>
            </w:tcBorders>
            <w:shd w:val="clear" w:color="000000" w:fill="FFFFFF"/>
            <w:hideMark/>
          </w:tcPr>
          <w:p w:rsidR="008604B9" w:rsidRPr="0013641F" w:rsidRDefault="008604B9" w:rsidP="00E35F38">
            <w:pPr>
              <w:spacing w:line="240" w:lineRule="auto"/>
              <w:rPr>
                <w:sz w:val="18"/>
                <w:szCs w:val="18"/>
              </w:rPr>
            </w:pPr>
            <w:r w:rsidRPr="0013641F">
              <w:rPr>
                <w:sz w:val="18"/>
                <w:szCs w:val="18"/>
              </w:rPr>
              <w:t> </w:t>
            </w:r>
          </w:p>
        </w:tc>
        <w:tc>
          <w:tcPr>
            <w:tcW w:w="1096" w:type="dxa"/>
            <w:tcBorders>
              <w:top w:val="nil"/>
              <w:left w:val="nil"/>
              <w:bottom w:val="nil"/>
              <w:right w:val="nil"/>
            </w:tcBorders>
            <w:shd w:val="clear" w:color="000000" w:fill="FFFFFF"/>
            <w:noWrap/>
            <w:hideMark/>
          </w:tcPr>
          <w:p w:rsidR="008604B9" w:rsidRPr="0013641F" w:rsidRDefault="008604B9" w:rsidP="00E35F38">
            <w:pPr>
              <w:spacing w:line="240" w:lineRule="auto"/>
              <w:rPr>
                <w:color w:val="000000"/>
                <w:sz w:val="18"/>
                <w:szCs w:val="18"/>
              </w:rPr>
            </w:pPr>
            <w:r w:rsidRPr="0013641F">
              <w:rPr>
                <w:color w:val="000000"/>
                <w:sz w:val="18"/>
                <w:szCs w:val="18"/>
              </w:rPr>
              <w:t> </w:t>
            </w:r>
          </w:p>
        </w:tc>
      </w:tr>
      <w:tr w:rsidR="008604B9" w:rsidRPr="0013641F" w:rsidTr="00E35F38">
        <w:trPr>
          <w:trHeight w:val="285"/>
        </w:trPr>
        <w:tc>
          <w:tcPr>
            <w:tcW w:w="178" w:type="dxa"/>
            <w:tcBorders>
              <w:top w:val="nil"/>
              <w:left w:val="nil"/>
              <w:bottom w:val="nil"/>
              <w:right w:val="nil"/>
            </w:tcBorders>
            <w:shd w:val="clear" w:color="000000" w:fill="FFFFFF"/>
            <w:noWrap/>
            <w:hideMark/>
          </w:tcPr>
          <w:p w:rsidR="008604B9" w:rsidRPr="0013641F" w:rsidRDefault="008604B9" w:rsidP="00E35F38">
            <w:pPr>
              <w:spacing w:line="240" w:lineRule="auto"/>
              <w:rPr>
                <w:color w:val="000000"/>
                <w:sz w:val="18"/>
                <w:szCs w:val="18"/>
              </w:rPr>
            </w:pPr>
            <w:r w:rsidRPr="0013641F">
              <w:rPr>
                <w:color w:val="000000"/>
                <w:sz w:val="18"/>
                <w:szCs w:val="18"/>
              </w:rPr>
              <w:t>8</w:t>
            </w:r>
          </w:p>
        </w:tc>
        <w:tc>
          <w:tcPr>
            <w:tcW w:w="5698" w:type="dxa"/>
            <w:tcBorders>
              <w:top w:val="nil"/>
              <w:left w:val="nil"/>
              <w:bottom w:val="nil"/>
              <w:right w:val="nil"/>
            </w:tcBorders>
            <w:shd w:val="clear" w:color="000000" w:fill="FFFFFF"/>
            <w:hideMark/>
          </w:tcPr>
          <w:p w:rsidR="008604B9" w:rsidRPr="0013641F" w:rsidRDefault="008604B9" w:rsidP="00E35F38">
            <w:pPr>
              <w:spacing w:line="240" w:lineRule="auto"/>
              <w:rPr>
                <w:sz w:val="18"/>
                <w:szCs w:val="18"/>
              </w:rPr>
            </w:pPr>
            <w:r w:rsidRPr="0013641F">
              <w:rPr>
                <w:sz w:val="18"/>
                <w:szCs w:val="18"/>
              </w:rPr>
              <w:t>Basisinfrastructuur mobiliteit</w:t>
            </w:r>
          </w:p>
        </w:tc>
        <w:tc>
          <w:tcPr>
            <w:tcW w:w="1096" w:type="dxa"/>
            <w:tcBorders>
              <w:top w:val="nil"/>
              <w:left w:val="nil"/>
              <w:bottom w:val="nil"/>
              <w:right w:val="nil"/>
            </w:tcBorders>
            <w:shd w:val="clear" w:color="000000" w:fill="FFFFFF"/>
            <w:noWrap/>
            <w:hideMark/>
          </w:tcPr>
          <w:p w:rsidR="008604B9" w:rsidRPr="0013641F" w:rsidRDefault="008604B9" w:rsidP="00E35F38">
            <w:pPr>
              <w:spacing w:line="240" w:lineRule="auto"/>
              <w:rPr>
                <w:color w:val="000000"/>
                <w:sz w:val="18"/>
                <w:szCs w:val="18"/>
              </w:rPr>
            </w:pPr>
            <w:r w:rsidRPr="0013641F">
              <w:rPr>
                <w:color w:val="000000"/>
                <w:sz w:val="18"/>
                <w:szCs w:val="18"/>
              </w:rPr>
              <w:t> </w:t>
            </w:r>
          </w:p>
        </w:tc>
      </w:tr>
      <w:tr w:rsidR="008604B9" w:rsidRPr="0013641F" w:rsidTr="00E35F38">
        <w:trPr>
          <w:trHeight w:val="285"/>
        </w:trPr>
        <w:tc>
          <w:tcPr>
            <w:tcW w:w="178" w:type="dxa"/>
            <w:tcBorders>
              <w:top w:val="nil"/>
              <w:left w:val="nil"/>
              <w:bottom w:val="nil"/>
              <w:right w:val="nil"/>
            </w:tcBorders>
            <w:shd w:val="clear" w:color="000000" w:fill="FFFFFF"/>
            <w:noWrap/>
            <w:hideMark/>
          </w:tcPr>
          <w:p w:rsidR="008604B9" w:rsidRPr="0013641F" w:rsidRDefault="008604B9" w:rsidP="00E35F38">
            <w:pPr>
              <w:spacing w:line="240" w:lineRule="auto"/>
              <w:rPr>
                <w:color w:val="000000"/>
                <w:sz w:val="18"/>
                <w:szCs w:val="18"/>
              </w:rPr>
            </w:pPr>
            <w:r w:rsidRPr="0013641F">
              <w:rPr>
                <w:color w:val="000000"/>
                <w:sz w:val="18"/>
                <w:szCs w:val="18"/>
              </w:rPr>
              <w:t> </w:t>
            </w:r>
          </w:p>
        </w:tc>
        <w:tc>
          <w:tcPr>
            <w:tcW w:w="5698" w:type="dxa"/>
            <w:tcBorders>
              <w:top w:val="nil"/>
              <w:left w:val="nil"/>
              <w:bottom w:val="nil"/>
              <w:right w:val="nil"/>
            </w:tcBorders>
            <w:shd w:val="clear" w:color="000000" w:fill="FFFFFF"/>
            <w:hideMark/>
          </w:tcPr>
          <w:p w:rsidR="008604B9" w:rsidRPr="0013641F" w:rsidRDefault="008604B9" w:rsidP="00E35F38">
            <w:pPr>
              <w:spacing w:line="240" w:lineRule="auto"/>
              <w:rPr>
                <w:sz w:val="18"/>
                <w:szCs w:val="18"/>
              </w:rPr>
            </w:pPr>
            <w:r w:rsidRPr="0013641F">
              <w:rPr>
                <w:sz w:val="18"/>
                <w:szCs w:val="18"/>
              </w:rPr>
              <w:t>Wegenoverdrachten</w:t>
            </w:r>
            <w:r>
              <w:rPr>
                <w:sz w:val="18"/>
                <w:szCs w:val="18"/>
              </w:rPr>
              <w:t>***</w:t>
            </w:r>
          </w:p>
        </w:tc>
        <w:tc>
          <w:tcPr>
            <w:tcW w:w="1096" w:type="dxa"/>
            <w:tcBorders>
              <w:top w:val="nil"/>
              <w:left w:val="nil"/>
              <w:bottom w:val="nil"/>
              <w:right w:val="nil"/>
            </w:tcBorders>
            <w:shd w:val="clear" w:color="000000" w:fill="FFFFFF"/>
            <w:noWrap/>
            <w:hideMark/>
          </w:tcPr>
          <w:p w:rsidR="008604B9" w:rsidRPr="0013641F" w:rsidRDefault="008604B9" w:rsidP="00E35F38">
            <w:pPr>
              <w:spacing w:line="240" w:lineRule="auto"/>
              <w:jc w:val="right"/>
              <w:rPr>
                <w:color w:val="000000"/>
                <w:sz w:val="18"/>
                <w:szCs w:val="18"/>
              </w:rPr>
            </w:pPr>
            <w:r w:rsidRPr="0013641F">
              <w:rPr>
                <w:color w:val="000000"/>
                <w:sz w:val="18"/>
                <w:szCs w:val="18"/>
              </w:rPr>
              <w:t>1.397.801</w:t>
            </w:r>
          </w:p>
        </w:tc>
      </w:tr>
      <w:tr w:rsidR="008604B9" w:rsidRPr="0013641F" w:rsidTr="00E35F38">
        <w:trPr>
          <w:trHeight w:val="300"/>
        </w:trPr>
        <w:tc>
          <w:tcPr>
            <w:tcW w:w="178" w:type="dxa"/>
            <w:tcBorders>
              <w:top w:val="nil"/>
              <w:left w:val="nil"/>
              <w:bottom w:val="nil"/>
              <w:right w:val="nil"/>
            </w:tcBorders>
            <w:shd w:val="clear" w:color="000000" w:fill="FFFFFF"/>
            <w:noWrap/>
            <w:hideMark/>
          </w:tcPr>
          <w:p w:rsidR="008604B9" w:rsidRPr="0013641F" w:rsidRDefault="008604B9" w:rsidP="00E35F38">
            <w:pPr>
              <w:spacing w:line="240" w:lineRule="auto"/>
              <w:rPr>
                <w:color w:val="000000"/>
                <w:sz w:val="18"/>
                <w:szCs w:val="18"/>
              </w:rPr>
            </w:pPr>
            <w:r w:rsidRPr="0013641F">
              <w:rPr>
                <w:color w:val="000000"/>
                <w:sz w:val="18"/>
                <w:szCs w:val="18"/>
              </w:rPr>
              <w:t> </w:t>
            </w:r>
          </w:p>
        </w:tc>
        <w:tc>
          <w:tcPr>
            <w:tcW w:w="5698" w:type="dxa"/>
            <w:tcBorders>
              <w:top w:val="nil"/>
              <w:left w:val="nil"/>
              <w:bottom w:val="nil"/>
              <w:right w:val="nil"/>
            </w:tcBorders>
            <w:shd w:val="clear" w:color="000000" w:fill="FFFFFF"/>
            <w:hideMark/>
          </w:tcPr>
          <w:p w:rsidR="008604B9" w:rsidRPr="0013641F" w:rsidRDefault="008604B9" w:rsidP="00E35F38">
            <w:pPr>
              <w:spacing w:line="240" w:lineRule="auto"/>
              <w:rPr>
                <w:color w:val="000000"/>
                <w:sz w:val="18"/>
                <w:szCs w:val="18"/>
              </w:rPr>
            </w:pPr>
            <w:r w:rsidRPr="0013641F">
              <w:rPr>
                <w:color w:val="000000"/>
                <w:sz w:val="18"/>
                <w:szCs w:val="18"/>
              </w:rPr>
              <w:t> </w:t>
            </w:r>
          </w:p>
        </w:tc>
        <w:tc>
          <w:tcPr>
            <w:tcW w:w="1096" w:type="dxa"/>
            <w:tcBorders>
              <w:top w:val="single" w:sz="4" w:space="0" w:color="auto"/>
              <w:left w:val="nil"/>
              <w:bottom w:val="double" w:sz="6" w:space="0" w:color="auto"/>
              <w:right w:val="nil"/>
            </w:tcBorders>
            <w:shd w:val="clear" w:color="000000" w:fill="FFFFFF"/>
            <w:noWrap/>
            <w:hideMark/>
          </w:tcPr>
          <w:p w:rsidR="008604B9" w:rsidRPr="0013641F" w:rsidRDefault="008604B9" w:rsidP="00E35F38">
            <w:pPr>
              <w:spacing w:line="240" w:lineRule="auto"/>
              <w:jc w:val="right"/>
              <w:rPr>
                <w:color w:val="000000"/>
                <w:sz w:val="18"/>
                <w:szCs w:val="18"/>
              </w:rPr>
            </w:pPr>
            <w:r w:rsidRPr="0013641F">
              <w:rPr>
                <w:color w:val="000000"/>
                <w:sz w:val="18"/>
                <w:szCs w:val="18"/>
              </w:rPr>
              <w:t>6.280.305</w:t>
            </w:r>
          </w:p>
        </w:tc>
      </w:tr>
    </w:tbl>
    <w:p w:rsidR="008604B9" w:rsidRDefault="008604B9" w:rsidP="008604B9"/>
    <w:p w:rsidR="008604B9" w:rsidRDefault="008604B9" w:rsidP="008604B9">
      <w:r>
        <w:t>*</w:t>
      </w:r>
      <w:r w:rsidRPr="00D275B5">
        <w:t xml:space="preserve">Om de doelen vanuit het Kaderrichtlijn Water te behalen hebben wij aan de waterschappen subsidies verleend ten behoeve van met name het herstel van Natte Natuurparels en beekherstel. Deze subsidies dragen bij aan de doelstellingen van STUW 2016-2021. In 2019 hebben wij de hieraan gerelateerde subsidies moeten vaststellen. De prestaties uit de subsidiebeschikkingen aan waterschap Brabantse Delta en waterschap De Dommel zijn nog niet allemaal geleverd, maar deze prestaties zijn wel nodig om </w:t>
      </w:r>
      <w:r w:rsidRPr="00D275B5">
        <w:lastRenderedPageBreak/>
        <w:t>de doelen vanuit de Kaderrichtlijn Water te realiseren. Om de niet-geleverde prestaties alsnog te realiseren is het nodig om het voordelig afwikkelingsverschil als gevolg van de subsidievaststelling beschikbaar te houden voor de uitvoering van deze projecten.</w:t>
      </w:r>
    </w:p>
    <w:p w:rsidR="008604B9" w:rsidRDefault="008604B9" w:rsidP="008604B9"/>
    <w:p w:rsidR="008604B9" w:rsidRDefault="008604B9" w:rsidP="008604B9">
      <w:r>
        <w:t>**</w:t>
      </w:r>
      <w:r w:rsidRPr="0013641F">
        <w:t>Jaarlijks wordt er een planning gemaakt van provinciale projecten waarvoor een Mer moet worden opgesteld en advies moet worden gevraagd aan de Mer-commissie. De kosten voor deze adviezen vari</w:t>
      </w:r>
      <w:r w:rsidR="00663B77">
        <w:t>ë</w:t>
      </w:r>
      <w:r w:rsidRPr="0013641F">
        <w:t xml:space="preserve">ren van ca. </w:t>
      </w:r>
      <w:r w:rsidR="00663B77">
        <w:t xml:space="preserve">€ </w:t>
      </w:r>
      <w:r w:rsidRPr="0013641F">
        <w:t xml:space="preserve">10.000 tot ca. </w:t>
      </w:r>
      <w:r w:rsidR="00663B77">
        <w:t>€</w:t>
      </w:r>
      <w:r w:rsidRPr="0013641F">
        <w:t>25.000</w:t>
      </w:r>
      <w:r w:rsidR="00663B77">
        <w:t xml:space="preserve">per </w:t>
      </w:r>
      <w:r w:rsidRPr="0013641F">
        <w:t>advies. Procedures voor deze projecten zijn vaak lang waardoor het gewenste advies niet in het geplande jaar kan worden aangevr</w:t>
      </w:r>
      <w:r w:rsidR="00663B77">
        <w:t>a</w:t>
      </w:r>
      <w:r w:rsidRPr="0013641F">
        <w:t>agd maar doorschuift. Voor deze adviezen moet het restant worden overgeheveld naar 2020.</w:t>
      </w:r>
    </w:p>
    <w:p w:rsidR="008604B9" w:rsidRDefault="008604B9" w:rsidP="008604B9"/>
    <w:p w:rsidR="008604B9" w:rsidRDefault="008604B9" w:rsidP="008604B9">
      <w:r>
        <w:t>***</w:t>
      </w:r>
      <w:r w:rsidRPr="00C1567F">
        <w:t xml:space="preserve"> In verband met een geplande wegenoverdracht aan gemeenten worden investeringskredieten afgeraamd en op de begroting opgenomen als exploitatie. Het betreft een wegvak in het kader van de N260 Omlegging Baarle en I-VRI's aan de gemeente Loon op Zand. Daarnaast heeft een geplande wegenoverdracht aan Breda (€ 1,1 mln) niet plaatsgevonden. De gereserveerde middelen dienen beschikbaar te blijven op de begroting.</w:t>
      </w:r>
    </w:p>
    <w:p w:rsidR="008604B9" w:rsidRDefault="008604B9" w:rsidP="008604B9"/>
    <w:p w:rsidR="008604B9" w:rsidRPr="00DD2FD8" w:rsidRDefault="008604B9" w:rsidP="008604B9">
      <w:pPr>
        <w:tabs>
          <w:tab w:val="right" w:pos="7380"/>
        </w:tabs>
        <w:rPr>
          <w:szCs w:val="20"/>
        </w:rPr>
      </w:pPr>
      <w:r w:rsidRPr="00DD2FD8">
        <w:rPr>
          <w:szCs w:val="20"/>
        </w:rPr>
        <w:t>Een toelichting op deze overhevelingen is opgenomen in bijlage 3.</w:t>
      </w:r>
    </w:p>
    <w:p w:rsidR="008604B9" w:rsidRPr="00AF2F2E" w:rsidRDefault="008604B9" w:rsidP="008604B9">
      <w:pPr>
        <w:tabs>
          <w:tab w:val="right" w:pos="7380"/>
        </w:tabs>
        <w:rPr>
          <w:i/>
          <w:szCs w:val="20"/>
        </w:rPr>
      </w:pPr>
      <w:r w:rsidRPr="00AF2F2E">
        <w:rPr>
          <w:i/>
          <w:szCs w:val="20"/>
        </w:rPr>
        <w:t xml:space="preserve">U wordt gevraagd in te stemmen met </w:t>
      </w:r>
      <w:r>
        <w:rPr>
          <w:i/>
          <w:szCs w:val="20"/>
        </w:rPr>
        <w:t xml:space="preserve">al </w:t>
      </w:r>
      <w:r w:rsidRPr="00AF2F2E">
        <w:rPr>
          <w:i/>
          <w:szCs w:val="20"/>
        </w:rPr>
        <w:t>deze overhevelingen.</w:t>
      </w:r>
    </w:p>
    <w:p w:rsidR="008604B9" w:rsidRDefault="008604B9" w:rsidP="008604B9">
      <w:pPr>
        <w:tabs>
          <w:tab w:val="right" w:pos="7380"/>
        </w:tabs>
        <w:rPr>
          <w:szCs w:val="20"/>
        </w:rPr>
      </w:pPr>
    </w:p>
    <w:p w:rsidR="008604B9" w:rsidRDefault="008604B9" w:rsidP="008604B9">
      <w:pPr>
        <w:tabs>
          <w:tab w:val="right" w:pos="7380"/>
        </w:tabs>
        <w:rPr>
          <w:szCs w:val="20"/>
        </w:rPr>
      </w:pPr>
      <w:r>
        <w:rPr>
          <w:szCs w:val="20"/>
        </w:rPr>
        <w:t>De verwerking van de overhevelingen en de benodigde mutaties in de reserves in de ramingen van de begroting 2020 worden meegenomen in de 1</w:t>
      </w:r>
      <w:r w:rsidRPr="00D87649">
        <w:rPr>
          <w:szCs w:val="20"/>
          <w:vertAlign w:val="superscript"/>
        </w:rPr>
        <w:t>e</w:t>
      </w:r>
      <w:r>
        <w:rPr>
          <w:szCs w:val="20"/>
        </w:rPr>
        <w:t xml:space="preserve">  bestuursrapportage 2020 en de bijbehorende begrotingswijziging 2020.</w:t>
      </w:r>
    </w:p>
    <w:p w:rsidR="008604B9" w:rsidRDefault="008604B9" w:rsidP="008604B9">
      <w:pPr>
        <w:tabs>
          <w:tab w:val="right" w:pos="7380"/>
        </w:tabs>
        <w:rPr>
          <w:szCs w:val="20"/>
        </w:rPr>
      </w:pPr>
    </w:p>
    <w:p w:rsidR="008604B9" w:rsidRPr="00DD2FD8" w:rsidRDefault="008604B9" w:rsidP="008604B9">
      <w:pPr>
        <w:tabs>
          <w:tab w:val="right" w:pos="7380"/>
        </w:tabs>
        <w:rPr>
          <w:szCs w:val="20"/>
        </w:rPr>
      </w:pPr>
    </w:p>
    <w:p w:rsidR="008604B9" w:rsidRPr="00FB25BD" w:rsidRDefault="008604B9" w:rsidP="008604B9">
      <w:pPr>
        <w:rPr>
          <w:b/>
          <w:szCs w:val="20"/>
        </w:rPr>
      </w:pPr>
      <w:r w:rsidRPr="00FB25BD">
        <w:rPr>
          <w:b/>
          <w:szCs w:val="20"/>
        </w:rPr>
        <w:t xml:space="preserve">3 </w:t>
      </w:r>
      <w:r>
        <w:rPr>
          <w:b/>
          <w:szCs w:val="20"/>
        </w:rPr>
        <w:t xml:space="preserve">Realisatie i.r.t. </w:t>
      </w:r>
      <w:r w:rsidRPr="00FB25BD">
        <w:rPr>
          <w:b/>
          <w:szCs w:val="20"/>
        </w:rPr>
        <w:t xml:space="preserve">de </w:t>
      </w:r>
      <w:r>
        <w:rPr>
          <w:b/>
          <w:szCs w:val="20"/>
        </w:rPr>
        <w:t xml:space="preserve">raming in de </w:t>
      </w:r>
      <w:r w:rsidRPr="00FB25BD">
        <w:rPr>
          <w:b/>
          <w:szCs w:val="20"/>
        </w:rPr>
        <w:t>begroting</w:t>
      </w:r>
    </w:p>
    <w:p w:rsidR="008604B9" w:rsidRPr="00F54E2E" w:rsidRDefault="008604B9" w:rsidP="008604B9">
      <w:pPr>
        <w:rPr>
          <w:szCs w:val="20"/>
          <w:u w:val="single"/>
        </w:rPr>
      </w:pPr>
      <w:r w:rsidRPr="00F54E2E">
        <w:rPr>
          <w:szCs w:val="20"/>
          <w:u w:val="single"/>
        </w:rPr>
        <w:t>Overschrijdingen van de begroting</w:t>
      </w:r>
    </w:p>
    <w:p w:rsidR="008604B9" w:rsidRDefault="008604B9" w:rsidP="008604B9">
      <w:pPr>
        <w:rPr>
          <w:szCs w:val="20"/>
        </w:rPr>
      </w:pPr>
      <w:r>
        <w:rPr>
          <w:szCs w:val="20"/>
        </w:rPr>
        <w:t xml:space="preserve">Een toelichting op de begrotingsoverschrijdingen is opgenomen in de bijlagenbundel in </w:t>
      </w:r>
      <w:r w:rsidRPr="00692490">
        <w:rPr>
          <w:szCs w:val="20"/>
        </w:rPr>
        <w:t>bijlage 10. Het</w:t>
      </w:r>
      <w:r>
        <w:rPr>
          <w:szCs w:val="20"/>
        </w:rPr>
        <w:t xml:space="preserve"> gaat hierbij om kostenoverschrijdingen van de begroting die passen binnen het beleid maar niet tijdig konden worden gesignaleerd en daarmee ook niet tijdig in een bijstelling van de begrotingsraming aan PS ter besluitvorming konden worden voorgelegd. </w:t>
      </w:r>
    </w:p>
    <w:p w:rsidR="008604B9" w:rsidRDefault="008604B9" w:rsidP="008604B9">
      <w:pPr>
        <w:rPr>
          <w:szCs w:val="20"/>
        </w:rPr>
      </w:pPr>
      <w:r>
        <w:rPr>
          <w:szCs w:val="20"/>
        </w:rPr>
        <w:t>Met de vaststelling van de jaarstukken 2019 door PS wordt ook deze bijlage met begrotingsoverschrijdingen geautoriseerd.</w:t>
      </w:r>
    </w:p>
    <w:p w:rsidR="008604B9" w:rsidRDefault="008604B9" w:rsidP="008604B9">
      <w:pPr>
        <w:rPr>
          <w:szCs w:val="20"/>
        </w:rPr>
      </w:pPr>
    </w:p>
    <w:p w:rsidR="008604B9" w:rsidRPr="0000701D" w:rsidRDefault="008604B9" w:rsidP="008604B9">
      <w:pPr>
        <w:rPr>
          <w:szCs w:val="20"/>
          <w:u w:val="single"/>
        </w:rPr>
      </w:pPr>
      <w:r w:rsidRPr="0000701D">
        <w:rPr>
          <w:szCs w:val="20"/>
          <w:u w:val="single"/>
        </w:rPr>
        <w:t>Onderbesteding</w:t>
      </w:r>
    </w:p>
    <w:p w:rsidR="008604B9" w:rsidRDefault="008604B9" w:rsidP="008604B9">
      <w:pPr>
        <w:rPr>
          <w:szCs w:val="20"/>
        </w:rPr>
      </w:pPr>
      <w:r>
        <w:rPr>
          <w:szCs w:val="20"/>
        </w:rPr>
        <w:t>Omdat bij de jaarrekening 2016 een percentage aan onderbesteding op de lasten bleek (meer dan 20% onderbesteding t.o.v. de raming na begrotingswijziging) is in de afgelopen jaren stevig ingezet op realistisch ramen.</w:t>
      </w:r>
    </w:p>
    <w:p w:rsidR="008604B9" w:rsidRPr="0000701D" w:rsidRDefault="008604B9" w:rsidP="008604B9">
      <w:pPr>
        <w:rPr>
          <w:szCs w:val="20"/>
        </w:rPr>
      </w:pPr>
      <w:r>
        <w:rPr>
          <w:szCs w:val="20"/>
        </w:rPr>
        <w:t xml:space="preserve">Het percentage onderbesteding is dan ook sinds het jaar 2016 gedaald naar 5,0 % in 2017, 5,2% in 2018 en </w:t>
      </w:r>
      <w:r w:rsidR="00692490">
        <w:rPr>
          <w:szCs w:val="20"/>
        </w:rPr>
        <w:t>2</w:t>
      </w:r>
      <w:r>
        <w:rPr>
          <w:szCs w:val="20"/>
        </w:rPr>
        <w:t>,3% in voorliggende jaarstukken 2019.</w:t>
      </w:r>
    </w:p>
    <w:p w:rsidR="008604B9" w:rsidRDefault="008604B9" w:rsidP="008604B9">
      <w:pPr>
        <w:rPr>
          <w:szCs w:val="20"/>
        </w:rPr>
      </w:pPr>
    </w:p>
    <w:p w:rsidR="008604B9" w:rsidRPr="0000701D" w:rsidRDefault="008604B9" w:rsidP="008604B9">
      <w:pPr>
        <w:rPr>
          <w:szCs w:val="20"/>
        </w:rPr>
      </w:pPr>
    </w:p>
    <w:p w:rsidR="008604B9" w:rsidRPr="00FB25BD" w:rsidRDefault="008604B9" w:rsidP="008604B9">
      <w:pPr>
        <w:rPr>
          <w:b/>
          <w:szCs w:val="20"/>
        </w:rPr>
      </w:pPr>
      <w:r w:rsidRPr="00FB25BD">
        <w:rPr>
          <w:b/>
          <w:szCs w:val="20"/>
        </w:rPr>
        <w:lastRenderedPageBreak/>
        <w:t>4 Controleverklaring</w:t>
      </w:r>
      <w:r w:rsidR="00F54EBB">
        <w:rPr>
          <w:b/>
          <w:szCs w:val="20"/>
        </w:rPr>
        <w:t>,</w:t>
      </w:r>
      <w:r w:rsidRPr="00FB25BD">
        <w:rPr>
          <w:b/>
          <w:szCs w:val="20"/>
        </w:rPr>
        <w:t xml:space="preserve"> accountantsverslag</w:t>
      </w:r>
      <w:r w:rsidR="00F54EBB">
        <w:rPr>
          <w:b/>
          <w:szCs w:val="20"/>
        </w:rPr>
        <w:t xml:space="preserve"> en Boardletter</w:t>
      </w:r>
    </w:p>
    <w:p w:rsidR="008313F9" w:rsidRPr="00FD2CAB" w:rsidRDefault="008313F9" w:rsidP="008313F9">
      <w:pPr>
        <w:rPr>
          <w:szCs w:val="20"/>
        </w:rPr>
      </w:pPr>
      <w:r w:rsidRPr="00FD2CAB">
        <w:rPr>
          <w:szCs w:val="20"/>
        </w:rPr>
        <w:t xml:space="preserve">Gelet op artikel 217 van de Provinciewet hebben PS op 17 januari 2020 BDO accountants aangewezen als accountant voor de boekjaren 2019, 2020 en 2021. </w:t>
      </w:r>
    </w:p>
    <w:p w:rsidR="007A1A2D" w:rsidRPr="00FD2CAB" w:rsidRDefault="007A1A2D" w:rsidP="008313F9">
      <w:pPr>
        <w:rPr>
          <w:szCs w:val="20"/>
        </w:rPr>
      </w:pPr>
    </w:p>
    <w:p w:rsidR="007A1A2D" w:rsidRPr="00FD2CAB" w:rsidRDefault="007A1A2D" w:rsidP="007A1A2D">
      <w:pPr>
        <w:rPr>
          <w:szCs w:val="20"/>
        </w:rPr>
      </w:pPr>
      <w:r w:rsidRPr="00FD2CAB">
        <w:rPr>
          <w:szCs w:val="20"/>
        </w:rPr>
        <w:t xml:space="preserve">De accountant </w:t>
      </w:r>
      <w:r w:rsidR="00F54EBB" w:rsidRPr="00FD2CAB">
        <w:rPr>
          <w:szCs w:val="20"/>
        </w:rPr>
        <w:t xml:space="preserve">betrekt in de </w:t>
      </w:r>
      <w:r w:rsidRPr="00FD2CAB">
        <w:rPr>
          <w:szCs w:val="20"/>
        </w:rPr>
        <w:t xml:space="preserve">accountantscontrole de regelgeving uit het normenkader. Dit normenkader </w:t>
      </w:r>
      <w:r w:rsidR="00F54EBB" w:rsidRPr="00FD2CAB">
        <w:rPr>
          <w:szCs w:val="20"/>
        </w:rPr>
        <w:t xml:space="preserve">dat als bijlage 4a bij dit statenvoorstel is opgenomen, </w:t>
      </w:r>
      <w:r w:rsidRPr="00FD2CAB">
        <w:rPr>
          <w:szCs w:val="20"/>
        </w:rPr>
        <w:t>bestaat uit:</w:t>
      </w:r>
    </w:p>
    <w:p w:rsidR="007A1A2D" w:rsidRPr="00FD2CAB" w:rsidRDefault="007A1A2D" w:rsidP="007A1A2D">
      <w:pPr>
        <w:pStyle w:val="Lijstalinea"/>
        <w:numPr>
          <w:ilvl w:val="0"/>
          <w:numId w:val="41"/>
        </w:numPr>
        <w:ind w:left="284" w:hanging="284"/>
        <w:rPr>
          <w:szCs w:val="20"/>
        </w:rPr>
      </w:pPr>
      <w:r w:rsidRPr="00FD2CAB">
        <w:rPr>
          <w:szCs w:val="20"/>
        </w:rPr>
        <w:t>Externe wet en regelgeving</w:t>
      </w:r>
    </w:p>
    <w:p w:rsidR="007A1A2D" w:rsidRPr="00FD2CAB" w:rsidRDefault="007A1A2D" w:rsidP="007A1A2D">
      <w:pPr>
        <w:pStyle w:val="Lijstalinea"/>
        <w:numPr>
          <w:ilvl w:val="0"/>
          <w:numId w:val="41"/>
        </w:numPr>
        <w:ind w:left="284" w:hanging="284"/>
        <w:rPr>
          <w:szCs w:val="20"/>
        </w:rPr>
      </w:pPr>
      <w:r w:rsidRPr="00FD2CAB">
        <w:rPr>
          <w:szCs w:val="20"/>
        </w:rPr>
        <w:t>Provinciale verordeningen</w:t>
      </w:r>
    </w:p>
    <w:p w:rsidR="007A1A2D" w:rsidRPr="00FD2CAB" w:rsidRDefault="007A1A2D" w:rsidP="007A1A2D">
      <w:pPr>
        <w:pStyle w:val="Lijstalinea"/>
        <w:numPr>
          <w:ilvl w:val="0"/>
          <w:numId w:val="41"/>
        </w:numPr>
        <w:ind w:left="284" w:hanging="284"/>
        <w:rPr>
          <w:szCs w:val="20"/>
        </w:rPr>
      </w:pPr>
      <w:r w:rsidRPr="00FD2CAB">
        <w:rPr>
          <w:szCs w:val="20"/>
        </w:rPr>
        <w:t>Besluiten van PS</w:t>
      </w:r>
    </w:p>
    <w:p w:rsidR="007A1A2D" w:rsidRPr="00FD2CAB" w:rsidRDefault="007A1A2D" w:rsidP="007A1A2D">
      <w:pPr>
        <w:rPr>
          <w:szCs w:val="20"/>
        </w:rPr>
      </w:pPr>
    </w:p>
    <w:p w:rsidR="008313F9" w:rsidRPr="008313F9" w:rsidRDefault="008313F9" w:rsidP="008313F9">
      <w:pPr>
        <w:rPr>
          <w:szCs w:val="20"/>
        </w:rPr>
      </w:pPr>
      <w:r w:rsidRPr="00FD2CAB">
        <w:rPr>
          <w:szCs w:val="20"/>
        </w:rPr>
        <w:t>Het accountantsverslag en de controleverklaring zijn bij het statenvoorstel opgenomen in bijlage 4</w:t>
      </w:r>
      <w:r w:rsidR="00F54EBB" w:rsidRPr="00FD2CAB">
        <w:rPr>
          <w:szCs w:val="20"/>
        </w:rPr>
        <w:t>b</w:t>
      </w:r>
      <w:r w:rsidRPr="00FD2CAB">
        <w:rPr>
          <w:szCs w:val="20"/>
        </w:rPr>
        <w:t>.</w:t>
      </w:r>
    </w:p>
    <w:p w:rsidR="008313F9" w:rsidRDefault="008313F9" w:rsidP="008313F9">
      <w:pPr>
        <w:rPr>
          <w:szCs w:val="20"/>
        </w:rPr>
      </w:pPr>
    </w:p>
    <w:p w:rsidR="008313F9" w:rsidRPr="008313F9" w:rsidRDefault="008313F9" w:rsidP="008604B9">
      <w:pPr>
        <w:rPr>
          <w:szCs w:val="20"/>
        </w:rPr>
      </w:pPr>
      <w:r w:rsidRPr="008313F9">
        <w:rPr>
          <w:szCs w:val="20"/>
        </w:rPr>
        <w:t>Zoals de a</w:t>
      </w:r>
      <w:r>
        <w:rPr>
          <w:szCs w:val="20"/>
        </w:rPr>
        <w:t xml:space="preserve">ccountant in het accountantsverslag in zijn aanbiedingsbrief al aangeeft, waren de omstandigheden waarin de controle moest plaatsvinden </w:t>
      </w:r>
      <w:r w:rsidR="001528E7">
        <w:rPr>
          <w:szCs w:val="20"/>
        </w:rPr>
        <w:t xml:space="preserve">vanwege het coronavirus </w:t>
      </w:r>
      <w:r>
        <w:rPr>
          <w:szCs w:val="20"/>
        </w:rPr>
        <w:t xml:space="preserve">bijzonder. </w:t>
      </w:r>
      <w:r w:rsidR="001528E7">
        <w:rPr>
          <w:szCs w:val="20"/>
        </w:rPr>
        <w:t xml:space="preserve">Wij zijn van mening dat de controle </w:t>
      </w:r>
      <w:r w:rsidR="00F30B61">
        <w:rPr>
          <w:szCs w:val="20"/>
        </w:rPr>
        <w:t xml:space="preserve">gelet op de omstandigheden </w:t>
      </w:r>
      <w:r w:rsidR="001528E7">
        <w:rPr>
          <w:szCs w:val="20"/>
        </w:rPr>
        <w:t>goed en constructief is verlopen.</w:t>
      </w:r>
    </w:p>
    <w:p w:rsidR="008313F9" w:rsidRPr="0000701D" w:rsidRDefault="008313F9" w:rsidP="008604B9">
      <w:pPr>
        <w:rPr>
          <w:szCs w:val="20"/>
          <w:highlight w:val="yellow"/>
        </w:rPr>
      </w:pPr>
    </w:p>
    <w:p w:rsidR="00F30B61" w:rsidRDefault="008604B9" w:rsidP="008604B9">
      <w:pPr>
        <w:rPr>
          <w:szCs w:val="20"/>
        </w:rPr>
      </w:pPr>
      <w:r w:rsidRPr="001528E7">
        <w:rPr>
          <w:szCs w:val="20"/>
        </w:rPr>
        <w:t>Wij hebben kennisgenomen van de verklaring van de accountant over zowel rechtmatigheid als de getrouwheid van de jaarrekening</w:t>
      </w:r>
      <w:r w:rsidR="00F30B61">
        <w:rPr>
          <w:szCs w:val="20"/>
        </w:rPr>
        <w:t>.</w:t>
      </w:r>
    </w:p>
    <w:p w:rsidR="00F30B61" w:rsidRDefault="00F30B61" w:rsidP="008604B9">
      <w:pPr>
        <w:rPr>
          <w:szCs w:val="20"/>
        </w:rPr>
      </w:pPr>
      <w:r>
        <w:rPr>
          <w:szCs w:val="20"/>
        </w:rPr>
        <w:t xml:space="preserve">Adviezen en aanbevelingen zijn in het accountantsverslag niet expliciet opgenomen. </w:t>
      </w:r>
      <w:r w:rsidR="008604B9" w:rsidRPr="001528E7">
        <w:rPr>
          <w:szCs w:val="20"/>
        </w:rPr>
        <w:t xml:space="preserve">In onze reactie op de bevindingen van de accountant richten we ons </w:t>
      </w:r>
      <w:r>
        <w:rPr>
          <w:szCs w:val="20"/>
        </w:rPr>
        <w:t xml:space="preserve">daarom </w:t>
      </w:r>
      <w:r w:rsidR="0007326E">
        <w:rPr>
          <w:szCs w:val="20"/>
        </w:rPr>
        <w:t xml:space="preserve">nog </w:t>
      </w:r>
      <w:r w:rsidR="006B4E0E">
        <w:rPr>
          <w:szCs w:val="20"/>
        </w:rPr>
        <w:t xml:space="preserve">op een aantal </w:t>
      </w:r>
      <w:r>
        <w:rPr>
          <w:szCs w:val="20"/>
        </w:rPr>
        <w:t xml:space="preserve">passages in het verslag die </w:t>
      </w:r>
      <w:r w:rsidR="001C6ABD">
        <w:rPr>
          <w:szCs w:val="20"/>
        </w:rPr>
        <w:t>we graag nog wat toelichten</w:t>
      </w:r>
      <w:r>
        <w:rPr>
          <w:szCs w:val="20"/>
        </w:rPr>
        <w:t>.</w:t>
      </w:r>
    </w:p>
    <w:p w:rsidR="008604B9" w:rsidRPr="00F663DB" w:rsidRDefault="008604B9" w:rsidP="008604B9">
      <w:pPr>
        <w:rPr>
          <w:szCs w:val="20"/>
        </w:rPr>
      </w:pPr>
      <w:r w:rsidRPr="001528E7">
        <w:rPr>
          <w:szCs w:val="20"/>
        </w:rPr>
        <w:t>De schuingedrukte teksten betreffen de desbetreffende passages in het accountantsverslag.</w:t>
      </w:r>
    </w:p>
    <w:p w:rsidR="008604B9" w:rsidRDefault="008604B9" w:rsidP="008604B9">
      <w:pPr>
        <w:rPr>
          <w:szCs w:val="20"/>
        </w:rPr>
      </w:pPr>
    </w:p>
    <w:p w:rsidR="001C6ABD" w:rsidRPr="001C6ABD" w:rsidRDefault="001C6ABD" w:rsidP="001C6ABD">
      <w:pPr>
        <w:rPr>
          <w:i/>
          <w:szCs w:val="20"/>
          <w:u w:val="single"/>
        </w:rPr>
      </w:pPr>
      <w:r w:rsidRPr="001C6ABD">
        <w:rPr>
          <w:i/>
          <w:szCs w:val="20"/>
          <w:u w:val="single"/>
        </w:rPr>
        <w:t xml:space="preserve">Accountantsverslag blz </w:t>
      </w:r>
      <w:r w:rsidR="001E33F8">
        <w:rPr>
          <w:i/>
          <w:szCs w:val="20"/>
          <w:u w:val="single"/>
        </w:rPr>
        <w:t>8</w:t>
      </w:r>
      <w:r w:rsidRPr="001C6ABD">
        <w:rPr>
          <w:i/>
          <w:szCs w:val="20"/>
          <w:u w:val="single"/>
        </w:rPr>
        <w:t xml:space="preserve"> Coronavirus</w:t>
      </w:r>
    </w:p>
    <w:p w:rsidR="001C6ABD" w:rsidRPr="001C6ABD" w:rsidRDefault="00560211" w:rsidP="001C6ABD">
      <w:pPr>
        <w:rPr>
          <w:i/>
          <w:szCs w:val="20"/>
        </w:rPr>
      </w:pPr>
      <w:r>
        <w:rPr>
          <w:i/>
          <w:szCs w:val="20"/>
        </w:rPr>
        <w:t>“</w:t>
      </w:r>
      <w:r w:rsidR="001C6ABD" w:rsidRPr="001C6ABD">
        <w:rPr>
          <w:i/>
          <w:szCs w:val="20"/>
        </w:rPr>
        <w:t>De belangrijkste gevolgen voor de provincie Noord-Brabant, voor zover deze op dit moment zijn in te schatten, zijn volgens GS:</w:t>
      </w:r>
    </w:p>
    <w:p w:rsidR="001C6ABD" w:rsidRPr="001C6ABD" w:rsidRDefault="001C6ABD" w:rsidP="001C6ABD">
      <w:pPr>
        <w:pStyle w:val="Lijstalinea"/>
        <w:numPr>
          <w:ilvl w:val="0"/>
          <w:numId w:val="42"/>
        </w:numPr>
        <w:ind w:left="284" w:hanging="284"/>
        <w:rPr>
          <w:i/>
          <w:szCs w:val="20"/>
        </w:rPr>
      </w:pPr>
      <w:r w:rsidRPr="001C6ABD">
        <w:rPr>
          <w:i/>
          <w:szCs w:val="20"/>
        </w:rPr>
        <w:t>De waardering van leningen. Mogelijk worden door de coronacrisis betaling van rente en aflossing met maximaal één jaar opgeschort. Dit heeft budgettair geen effect. Of partijen hun betaalverplichting niet meer kunnen voldoen, is momenteel nog niet in te schatten.</w:t>
      </w:r>
    </w:p>
    <w:p w:rsidR="001C6ABD" w:rsidRPr="001C6ABD" w:rsidRDefault="001C6ABD" w:rsidP="001C6ABD">
      <w:pPr>
        <w:pStyle w:val="Lijstalinea"/>
        <w:numPr>
          <w:ilvl w:val="0"/>
          <w:numId w:val="42"/>
        </w:numPr>
        <w:ind w:left="284" w:hanging="284"/>
        <w:rPr>
          <w:i/>
          <w:szCs w:val="20"/>
        </w:rPr>
      </w:pPr>
      <w:r w:rsidRPr="001C6ABD">
        <w:rPr>
          <w:i/>
          <w:szCs w:val="20"/>
        </w:rPr>
        <w:t>De waardering van deelnemingen. Ook hier zijn de gevolgen nog onzeker.</w:t>
      </w:r>
    </w:p>
    <w:p w:rsidR="001C6ABD" w:rsidRPr="001C6ABD" w:rsidRDefault="001C6ABD" w:rsidP="001C6ABD">
      <w:pPr>
        <w:rPr>
          <w:i/>
          <w:szCs w:val="20"/>
        </w:rPr>
      </w:pPr>
      <w:r w:rsidRPr="001C6ABD">
        <w:rPr>
          <w:i/>
          <w:szCs w:val="20"/>
        </w:rPr>
        <w:t>De uitbraak van het Coronavirus wordt gezien als een gebeurtenis na balansdatum, aangezien de uitbraak van dit virus pas in de loop van januari 2020 van wezenlijke omvang werd. Voor de jaarrekening 2019 houdt dit in dat, in lijn met de verslaggevingsrichtlijnen</w:t>
      </w:r>
      <w:r w:rsidR="00D64C5B">
        <w:rPr>
          <w:i/>
          <w:szCs w:val="20"/>
        </w:rPr>
        <w:t xml:space="preserve"> </w:t>
      </w:r>
      <w:r w:rsidRPr="001C6ABD">
        <w:rPr>
          <w:i/>
          <w:szCs w:val="20"/>
        </w:rPr>
        <w:t>hieromtrent, een toelichting rondom (de impact van) het Coronavirus is opgenomen bij de in de toelichting opgenome</w:t>
      </w:r>
      <w:r w:rsidR="00FD5540">
        <w:rPr>
          <w:i/>
          <w:szCs w:val="20"/>
        </w:rPr>
        <w:t>n gebeurtenissen na balansdatum</w:t>
      </w:r>
      <w:r w:rsidRPr="001C6ABD">
        <w:rPr>
          <w:i/>
          <w:szCs w:val="20"/>
        </w:rPr>
        <w:t>.</w:t>
      </w:r>
    </w:p>
    <w:p w:rsidR="001C6ABD" w:rsidRPr="001C6ABD" w:rsidRDefault="001C6ABD" w:rsidP="001C6ABD">
      <w:pPr>
        <w:rPr>
          <w:i/>
          <w:szCs w:val="20"/>
        </w:rPr>
      </w:pPr>
      <w:r w:rsidRPr="001C6ABD">
        <w:rPr>
          <w:i/>
          <w:szCs w:val="20"/>
        </w:rPr>
        <w:t xml:space="preserve">Daarnaast is in het jaarverslag een beschrijving opgenomen van de belangrijkste risico’s en onzekerheden, waaronder een beschrijving van de wijze waarop de </w:t>
      </w:r>
      <w:r w:rsidRPr="001C6ABD">
        <w:rPr>
          <w:i/>
          <w:szCs w:val="20"/>
        </w:rPr>
        <w:lastRenderedPageBreak/>
        <w:t>bijzondere gebeurtenissen de verwachtingen hebben beïnvloed en is aandacht besteed aan (de impact van) het Coronavirus.</w:t>
      </w:r>
    </w:p>
    <w:p w:rsidR="001C6ABD" w:rsidRPr="001C6ABD" w:rsidRDefault="001C6ABD" w:rsidP="001C6ABD">
      <w:pPr>
        <w:rPr>
          <w:i/>
          <w:szCs w:val="20"/>
        </w:rPr>
      </w:pPr>
      <w:r w:rsidRPr="001C6ABD">
        <w:rPr>
          <w:i/>
          <w:szCs w:val="20"/>
        </w:rPr>
        <w:t>Als onderdeel van onze controle werkzaamheden hebben wij de aanvaardbaarheid en toereikendheid</w:t>
      </w:r>
      <w:r w:rsidR="00D64C5B">
        <w:rPr>
          <w:i/>
          <w:szCs w:val="20"/>
        </w:rPr>
        <w:t xml:space="preserve"> </w:t>
      </w:r>
      <w:r w:rsidRPr="001C6ABD">
        <w:rPr>
          <w:i/>
          <w:szCs w:val="20"/>
        </w:rPr>
        <w:t>van deze toelichtingen beoordeeld.</w:t>
      </w:r>
      <w:r w:rsidR="00560211">
        <w:rPr>
          <w:i/>
          <w:szCs w:val="20"/>
        </w:rPr>
        <w:t>”</w:t>
      </w:r>
    </w:p>
    <w:p w:rsidR="001C6ABD" w:rsidRDefault="001C6ABD" w:rsidP="001C6ABD">
      <w:pPr>
        <w:rPr>
          <w:szCs w:val="20"/>
        </w:rPr>
      </w:pPr>
    </w:p>
    <w:p w:rsidR="001C6ABD" w:rsidRDefault="001C6ABD" w:rsidP="001C6ABD">
      <w:pPr>
        <w:rPr>
          <w:szCs w:val="20"/>
        </w:rPr>
      </w:pPr>
      <w:r w:rsidRPr="00E50B91">
        <w:rPr>
          <w:szCs w:val="20"/>
        </w:rPr>
        <w:t xml:space="preserve">De gevolgen van het coronavirus zullen ook de financiën van de provincie raken. </w:t>
      </w:r>
      <w:r>
        <w:rPr>
          <w:szCs w:val="20"/>
        </w:rPr>
        <w:t xml:space="preserve">In de jaarstukken 2019 is dat al wel aangegeven, maar het is nog te vroeg om die impact </w:t>
      </w:r>
      <w:r w:rsidR="00923D22">
        <w:rPr>
          <w:szCs w:val="20"/>
        </w:rPr>
        <w:t>goed</w:t>
      </w:r>
      <w:r>
        <w:rPr>
          <w:szCs w:val="20"/>
        </w:rPr>
        <w:t xml:space="preserve"> te kunnen kwantificeren. Uiteraard houden we PS op hoogte als daar wel een beter beeld van ontstaat. </w:t>
      </w:r>
    </w:p>
    <w:p w:rsidR="001C6ABD" w:rsidRDefault="001C6ABD" w:rsidP="008604B9">
      <w:pPr>
        <w:rPr>
          <w:szCs w:val="20"/>
        </w:rPr>
      </w:pPr>
    </w:p>
    <w:p w:rsidR="001C6ABD" w:rsidRDefault="001C6ABD" w:rsidP="008604B9">
      <w:pPr>
        <w:rPr>
          <w:szCs w:val="20"/>
        </w:rPr>
      </w:pPr>
    </w:p>
    <w:p w:rsidR="001C6ABD" w:rsidRDefault="001C6ABD" w:rsidP="0007326E">
      <w:pPr>
        <w:rPr>
          <w:i/>
          <w:u w:val="single"/>
        </w:rPr>
      </w:pPr>
      <w:r w:rsidRPr="001C6ABD">
        <w:rPr>
          <w:i/>
          <w:u w:val="single"/>
        </w:rPr>
        <w:t>Accountantsverslag Blz 1</w:t>
      </w:r>
      <w:r w:rsidR="001E33F8">
        <w:rPr>
          <w:i/>
          <w:u w:val="single"/>
        </w:rPr>
        <w:t>2</w:t>
      </w:r>
      <w:r w:rsidR="0007326E" w:rsidRPr="001C6ABD">
        <w:rPr>
          <w:i/>
          <w:u w:val="single"/>
        </w:rPr>
        <w:t xml:space="preserve">: </w:t>
      </w:r>
      <w:r>
        <w:rPr>
          <w:i/>
          <w:u w:val="single"/>
        </w:rPr>
        <w:t>Weerstand</w:t>
      </w:r>
      <w:r w:rsidR="002D1AFE">
        <w:rPr>
          <w:i/>
          <w:u w:val="single"/>
        </w:rPr>
        <w:t>s</w:t>
      </w:r>
      <w:r>
        <w:rPr>
          <w:i/>
          <w:u w:val="single"/>
        </w:rPr>
        <w:t>vermogen</w:t>
      </w:r>
    </w:p>
    <w:p w:rsidR="0007326E" w:rsidRPr="001C6ABD" w:rsidRDefault="0007326E" w:rsidP="0007326E">
      <w:pPr>
        <w:rPr>
          <w:i/>
        </w:rPr>
      </w:pPr>
      <w:r w:rsidRPr="001C6ABD">
        <w:rPr>
          <w:i/>
        </w:rPr>
        <w:t>“</w:t>
      </w:r>
      <w:r w:rsidR="00C226DA" w:rsidRPr="00C226DA">
        <w:rPr>
          <w:i/>
        </w:rPr>
        <w:t>Daarnaast is het opvallend dat de risicovoorziening ontwikkelbedrijf wordt betrokken in het weerstandsvermogen. Het is niet gebruikelijk voorzieningen te betrekken in de calculatie. In het overzicht met de belangrijkste risico’s zijn de risico’s van het ontwikkelbedrijf voor het volledige bedrag opgenomen. Aangezien deze deels gedekt worden door de voorziening en deels zijn afgedekt door de risicoreserve is de risicovoorziening ontwikkelbedrijf meegenomen in de berekening van het weerstandsvermogen. Deze verwerkingswijze is consistent met voorgaande jaren.</w:t>
      </w:r>
      <w:r w:rsidRPr="001C6ABD">
        <w:rPr>
          <w:i/>
        </w:rPr>
        <w:t>”</w:t>
      </w:r>
    </w:p>
    <w:p w:rsidR="00560211" w:rsidRDefault="00560211" w:rsidP="008264BE"/>
    <w:p w:rsidR="00896A55" w:rsidRDefault="008264BE" w:rsidP="008264BE">
      <w:r>
        <w:t xml:space="preserve">Het ontwikkelbedrijf is gericht op risicovolle projecten. </w:t>
      </w:r>
      <w:r w:rsidR="00896A55">
        <w:t>Voor die risicovolle projecten is de reserve ontwikkelbedrijf beschikbaar. Als daarvoor verp</w:t>
      </w:r>
      <w:bookmarkStart w:id="0" w:name="_GoBack"/>
      <w:bookmarkEnd w:id="0"/>
      <w:r w:rsidR="00896A55">
        <w:t xml:space="preserve">lichtingen worden aangegaan of de kans </w:t>
      </w:r>
      <w:r w:rsidR="001C4DEA">
        <w:t xml:space="preserve">groot is </w:t>
      </w:r>
      <w:r w:rsidR="00616E0A">
        <w:t xml:space="preserve">dat </w:t>
      </w:r>
      <w:r w:rsidR="00896A55">
        <w:t xml:space="preserve">zich een verlies gaat voordoen </w:t>
      </w:r>
      <w:r w:rsidR="001C4DEA">
        <w:t>d</w:t>
      </w:r>
      <w:r w:rsidR="00923D22">
        <w:t xml:space="preserve">an </w:t>
      </w:r>
      <w:r w:rsidR="00896A55">
        <w:t>dient daar een voorziening voor te worden getroffen. Die voorziening wordt dan gevormd vanuit deze reserve. Omdat het niveau van de te treffen voorziening van jaar op jaar kan wijzigen</w:t>
      </w:r>
      <w:r w:rsidR="004447EC">
        <w:t>,</w:t>
      </w:r>
      <w:r w:rsidR="00896A55">
        <w:t xml:space="preserve"> brengen wij bij de paragraaf weerstand</w:t>
      </w:r>
      <w:r w:rsidR="002D1AFE">
        <w:t>s-</w:t>
      </w:r>
      <w:r w:rsidR="00896A55">
        <w:t>vermogen zowel het totale risico als de afdekking van dat risico vanuit de reserve ontwikkelbedrijf en de voorziening in beeld.</w:t>
      </w:r>
    </w:p>
    <w:p w:rsidR="0007326E" w:rsidRDefault="00896A55" w:rsidP="0007326E">
      <w:r>
        <w:t xml:space="preserve">Wij zouden ook alleen het netto risico onder aftrek van de getroffen voorziening </w:t>
      </w:r>
      <w:r w:rsidR="00145BD7">
        <w:t>kunnen laten zien</w:t>
      </w:r>
      <w:r>
        <w:t xml:space="preserve">, maar gelet op de in het verleden gemaakte afspraken </w:t>
      </w:r>
      <w:r w:rsidR="00145BD7">
        <w:t xml:space="preserve">geven we er de voorkeur aan om </w:t>
      </w:r>
      <w:r w:rsidR="00F30106">
        <w:t>PS</w:t>
      </w:r>
      <w:r w:rsidR="0007326E" w:rsidRPr="00B479DE">
        <w:t xml:space="preserve"> </w:t>
      </w:r>
      <w:r w:rsidR="00145BD7">
        <w:t xml:space="preserve">te informeren </w:t>
      </w:r>
      <w:r w:rsidR="0007326E" w:rsidRPr="00B479DE">
        <w:t xml:space="preserve">over </w:t>
      </w:r>
      <w:r w:rsidR="00145BD7">
        <w:t xml:space="preserve">de </w:t>
      </w:r>
      <w:r w:rsidR="0007326E" w:rsidRPr="00B479DE">
        <w:t>totale risico</w:t>
      </w:r>
      <w:r w:rsidR="00145BD7">
        <w:t>’s</w:t>
      </w:r>
      <w:r w:rsidR="0007326E" w:rsidRPr="00B479DE">
        <w:t xml:space="preserve"> en laten </w:t>
      </w:r>
      <w:r w:rsidR="00145BD7">
        <w:t xml:space="preserve">we </w:t>
      </w:r>
      <w:r w:rsidR="0007326E" w:rsidRPr="00B479DE">
        <w:t>de schommelingen in afdekking van risico’s die meer technisch van aard zijn, alleen tot uitdrukking komen in de balansstanden. Hierdoor wordt een stabieler beeld gegeven aan PS over het totale palet van risico’s en afdekking</w:t>
      </w:r>
      <w:r w:rsidR="0007326E">
        <w:t>.</w:t>
      </w:r>
    </w:p>
    <w:p w:rsidR="0007326E" w:rsidRDefault="0007326E" w:rsidP="0007326E"/>
    <w:p w:rsidR="004447EC" w:rsidRDefault="004447EC" w:rsidP="0007326E"/>
    <w:p w:rsidR="0007326E" w:rsidRPr="001C6ABD" w:rsidRDefault="001C6ABD" w:rsidP="0007326E">
      <w:pPr>
        <w:rPr>
          <w:i/>
          <w:u w:val="single"/>
        </w:rPr>
      </w:pPr>
      <w:r w:rsidRPr="001C6ABD">
        <w:rPr>
          <w:i/>
          <w:u w:val="single"/>
        </w:rPr>
        <w:t xml:space="preserve">Accountantsverslag </w:t>
      </w:r>
      <w:r w:rsidR="004F4C3B">
        <w:rPr>
          <w:i/>
          <w:u w:val="single"/>
        </w:rPr>
        <w:t>Blz 17</w:t>
      </w:r>
      <w:r w:rsidR="0007326E" w:rsidRPr="001C6ABD">
        <w:rPr>
          <w:i/>
          <w:u w:val="single"/>
        </w:rPr>
        <w:t xml:space="preserve"> Kwaliteit en leesbaarheid jaarstukken</w:t>
      </w:r>
    </w:p>
    <w:p w:rsidR="003F4BBA" w:rsidRDefault="0007326E" w:rsidP="0007326E">
      <w:pPr>
        <w:rPr>
          <w:i/>
        </w:rPr>
      </w:pPr>
      <w:r>
        <w:rPr>
          <w:i/>
        </w:rPr>
        <w:t>“</w:t>
      </w:r>
      <w:r w:rsidRPr="00627BEE">
        <w:rPr>
          <w:i/>
        </w:rPr>
        <w:t xml:space="preserve">De toepassing van een bijlagebundel draagt naar onze mening niet bij tot de leesbaarheid en het vergroten van de informatie waarde van de jaarstukken. </w:t>
      </w:r>
    </w:p>
    <w:p w:rsidR="0007326E" w:rsidRDefault="003F4BBA" w:rsidP="0007326E">
      <w:pPr>
        <w:rPr>
          <w:i/>
        </w:rPr>
      </w:pPr>
      <w:r w:rsidRPr="003F4BBA">
        <w:rPr>
          <w:i/>
        </w:rPr>
        <w:t>De directe cijfermatige aansluiting tussen de paragrafen, de balans met toelichting en de bijlage bundel is op onderdelen lastig te maken.</w:t>
      </w:r>
    </w:p>
    <w:p w:rsidR="0007326E" w:rsidRPr="00627BEE" w:rsidRDefault="0007326E" w:rsidP="0007326E">
      <w:pPr>
        <w:rPr>
          <w:i/>
        </w:rPr>
      </w:pPr>
      <w:r w:rsidRPr="00627BEE">
        <w:rPr>
          <w:i/>
        </w:rPr>
        <w:t xml:space="preserve">De bijlage bundel biedt wel kansen om de informatie waarde te vergroten dan wel de jaarstukken te verduidelijken. De financiële vaste activa zouden bijvoorbeeld gerubriceerd kunnen worden naar risicoprofiel in plaats van soort lening waarbij ook een nadere toelichting kan worden gegeven op de </w:t>
      </w:r>
      <w:r w:rsidRPr="00627BEE">
        <w:rPr>
          <w:i/>
        </w:rPr>
        <w:lastRenderedPageBreak/>
        <w:t>kwalificatie van de verbonden partijen in de paragraaf verbonden partijen. Het inzicht in de reserves zou kunnen worden vergroot door deze te rubriceren naar functie (bufferfunctie, egalisatiefunctie, spaarfunctie of inkomensfunctie).</w:t>
      </w:r>
    </w:p>
    <w:p w:rsidR="0007326E" w:rsidRDefault="0007326E" w:rsidP="0007326E">
      <w:r w:rsidRPr="00560211">
        <w:rPr>
          <w:i/>
        </w:rPr>
        <w:t>Wij stellen voor om met de Commissie sturen en verantwoorden de mogelijkheden verder te verkennen</w:t>
      </w:r>
      <w:r w:rsidRPr="00560211">
        <w:t>.”</w:t>
      </w:r>
    </w:p>
    <w:p w:rsidR="008604B9" w:rsidRDefault="008604B9" w:rsidP="008604B9">
      <w:pPr>
        <w:rPr>
          <w:szCs w:val="20"/>
        </w:rPr>
      </w:pPr>
    </w:p>
    <w:p w:rsidR="003C3D53" w:rsidRDefault="003C3D53" w:rsidP="008604B9">
      <w:pPr>
        <w:rPr>
          <w:szCs w:val="20"/>
        </w:rPr>
      </w:pPr>
      <w:r>
        <w:rPr>
          <w:szCs w:val="20"/>
        </w:rPr>
        <w:t>De bijlagen in de bijlagenbundel betreffen voor het merendeel de op basis van het BBV voorgeschreven overzichten.</w:t>
      </w:r>
    </w:p>
    <w:p w:rsidR="003C3D53" w:rsidRDefault="003C3D53" w:rsidP="008604B9">
      <w:pPr>
        <w:rPr>
          <w:szCs w:val="20"/>
        </w:rPr>
      </w:pPr>
      <w:r>
        <w:rPr>
          <w:szCs w:val="20"/>
        </w:rPr>
        <w:t xml:space="preserve">Wensen vanuit PS ten aanzien van overzichten kunnen </w:t>
      </w:r>
      <w:r w:rsidR="004447EC">
        <w:rPr>
          <w:szCs w:val="20"/>
        </w:rPr>
        <w:t xml:space="preserve">uiteraard </w:t>
      </w:r>
      <w:r>
        <w:rPr>
          <w:szCs w:val="20"/>
        </w:rPr>
        <w:t>in de commissie Sturen en verantwoorden besproken worden. Uitgangspunt blijft wel steeds dat de BBV—voorschriften in acht moeten worden genomen.</w:t>
      </w:r>
    </w:p>
    <w:p w:rsidR="003C3D53" w:rsidRDefault="003C3D53" w:rsidP="008604B9">
      <w:pPr>
        <w:rPr>
          <w:szCs w:val="20"/>
        </w:rPr>
      </w:pPr>
    </w:p>
    <w:p w:rsidR="004447EC" w:rsidRDefault="004447EC" w:rsidP="008604B9">
      <w:pPr>
        <w:rPr>
          <w:szCs w:val="20"/>
        </w:rPr>
      </w:pPr>
    </w:p>
    <w:p w:rsidR="00BD0893" w:rsidRPr="001C6ABD" w:rsidRDefault="001C6ABD" w:rsidP="008604B9">
      <w:pPr>
        <w:rPr>
          <w:i/>
          <w:szCs w:val="20"/>
          <w:u w:val="single"/>
        </w:rPr>
      </w:pPr>
      <w:r w:rsidRPr="001C6ABD">
        <w:rPr>
          <w:i/>
          <w:szCs w:val="20"/>
          <w:u w:val="single"/>
        </w:rPr>
        <w:t xml:space="preserve">Accountantsverslag </w:t>
      </w:r>
      <w:r w:rsidR="00E36C76" w:rsidRPr="001C6ABD">
        <w:rPr>
          <w:i/>
          <w:szCs w:val="20"/>
          <w:u w:val="single"/>
        </w:rPr>
        <w:t xml:space="preserve">Blz. </w:t>
      </w:r>
      <w:r w:rsidR="001E33F8">
        <w:rPr>
          <w:i/>
          <w:szCs w:val="20"/>
          <w:u w:val="single"/>
        </w:rPr>
        <w:t>1</w:t>
      </w:r>
      <w:r w:rsidR="004F4C3B">
        <w:rPr>
          <w:i/>
          <w:szCs w:val="20"/>
          <w:u w:val="single"/>
        </w:rPr>
        <w:t>9</w:t>
      </w:r>
      <w:r w:rsidR="00E36C76" w:rsidRPr="001C6ABD">
        <w:rPr>
          <w:i/>
          <w:szCs w:val="20"/>
          <w:u w:val="single"/>
        </w:rPr>
        <w:t xml:space="preserve"> Begrotingsrechtmatigheid</w:t>
      </w:r>
    </w:p>
    <w:p w:rsidR="00E36C76" w:rsidRPr="00E36C76" w:rsidRDefault="00560211" w:rsidP="00E36C76">
      <w:pPr>
        <w:rPr>
          <w:i/>
          <w:szCs w:val="20"/>
        </w:rPr>
      </w:pPr>
      <w:r>
        <w:rPr>
          <w:i/>
          <w:szCs w:val="20"/>
        </w:rPr>
        <w:t>“</w:t>
      </w:r>
      <w:r w:rsidR="00E36C76" w:rsidRPr="00E36C76">
        <w:rPr>
          <w:i/>
          <w:szCs w:val="20"/>
        </w:rPr>
        <w:t>Wij concluderen dat er geen sprake is van begrotingsoverschrijdingen die meegewogen moeten worden in ons oordeel.</w:t>
      </w:r>
      <w:r w:rsidR="00E36C76">
        <w:rPr>
          <w:i/>
          <w:szCs w:val="20"/>
        </w:rPr>
        <w:t xml:space="preserve"> </w:t>
      </w:r>
      <w:r w:rsidR="00E36C76" w:rsidRPr="00E36C76">
        <w:rPr>
          <w:i/>
          <w:szCs w:val="20"/>
        </w:rPr>
        <w:t>Voor een inhoudelijke en meer specifieke analyse van de begrotingsafwijkingen verwijzen wij naar de analyse begrotingsafwijkingen,</w:t>
      </w:r>
      <w:r w:rsidR="001A7A7E">
        <w:rPr>
          <w:i/>
          <w:szCs w:val="20"/>
        </w:rPr>
        <w:t xml:space="preserve"> </w:t>
      </w:r>
      <w:r w:rsidR="00E36C76" w:rsidRPr="00E36C76">
        <w:rPr>
          <w:i/>
          <w:szCs w:val="20"/>
        </w:rPr>
        <w:t>zoals opgenomen in de toelichting op het overzicht van baten en lasten/verschillena</w:t>
      </w:r>
      <w:r w:rsidR="001E33F8">
        <w:rPr>
          <w:i/>
          <w:szCs w:val="20"/>
        </w:rPr>
        <w:t xml:space="preserve">nalyse in de jaarrekening 2019 </w:t>
      </w:r>
      <w:r w:rsidR="00E36C76" w:rsidRPr="00E36C76">
        <w:rPr>
          <w:i/>
          <w:szCs w:val="20"/>
        </w:rPr>
        <w:t>.</w:t>
      </w:r>
      <w:r>
        <w:rPr>
          <w:i/>
          <w:szCs w:val="20"/>
        </w:rPr>
        <w:t>”</w:t>
      </w:r>
    </w:p>
    <w:p w:rsidR="00E36C76" w:rsidRDefault="00E36C76" w:rsidP="008604B9">
      <w:pPr>
        <w:rPr>
          <w:szCs w:val="20"/>
        </w:rPr>
      </w:pPr>
    </w:p>
    <w:p w:rsidR="001C6ABD" w:rsidRDefault="00E36C76" w:rsidP="008604B9">
      <w:pPr>
        <w:rPr>
          <w:szCs w:val="20"/>
        </w:rPr>
      </w:pPr>
      <w:r>
        <w:rPr>
          <w:szCs w:val="20"/>
        </w:rPr>
        <w:t xml:space="preserve">De toelichting op de overschrijdingen </w:t>
      </w:r>
      <w:r w:rsidR="001C6ABD">
        <w:rPr>
          <w:szCs w:val="20"/>
        </w:rPr>
        <w:t xml:space="preserve">van de lasten </w:t>
      </w:r>
      <w:r>
        <w:rPr>
          <w:szCs w:val="20"/>
        </w:rPr>
        <w:t xml:space="preserve">is verder nog expliciet opgenomen in de bijlage </w:t>
      </w:r>
      <w:r w:rsidR="001C6ABD">
        <w:rPr>
          <w:szCs w:val="20"/>
        </w:rPr>
        <w:t xml:space="preserve">10 </w:t>
      </w:r>
      <w:r>
        <w:rPr>
          <w:szCs w:val="20"/>
        </w:rPr>
        <w:t>begrotingsrechtmatigheid van de bijlagen</w:t>
      </w:r>
      <w:r w:rsidR="001C6ABD">
        <w:rPr>
          <w:szCs w:val="20"/>
        </w:rPr>
        <w:t>bundel.</w:t>
      </w:r>
      <w:r w:rsidR="004447EC">
        <w:rPr>
          <w:szCs w:val="20"/>
        </w:rPr>
        <w:t xml:space="preserve"> Met het vaststellen van de jaarstukken door PS worden deze overschrijdingen geautoriseerd.</w:t>
      </w:r>
    </w:p>
    <w:p w:rsidR="00E36C76" w:rsidRDefault="00E36C76" w:rsidP="008604B9">
      <w:pPr>
        <w:rPr>
          <w:szCs w:val="20"/>
        </w:rPr>
      </w:pPr>
    </w:p>
    <w:p w:rsidR="004447EC" w:rsidRDefault="004447EC" w:rsidP="008604B9">
      <w:pPr>
        <w:rPr>
          <w:szCs w:val="20"/>
        </w:rPr>
      </w:pPr>
    </w:p>
    <w:p w:rsidR="00BD0893" w:rsidRPr="001C6ABD" w:rsidRDefault="001C6ABD" w:rsidP="008604B9">
      <w:pPr>
        <w:rPr>
          <w:i/>
          <w:szCs w:val="20"/>
          <w:u w:val="single"/>
        </w:rPr>
      </w:pPr>
      <w:r w:rsidRPr="001C6ABD">
        <w:rPr>
          <w:i/>
          <w:szCs w:val="20"/>
          <w:u w:val="single"/>
        </w:rPr>
        <w:t xml:space="preserve">Accountantsverslag </w:t>
      </w:r>
      <w:r w:rsidR="00BD0893" w:rsidRPr="001C6ABD">
        <w:rPr>
          <w:i/>
          <w:szCs w:val="20"/>
          <w:u w:val="single"/>
        </w:rPr>
        <w:t>Blz 2</w:t>
      </w:r>
      <w:r w:rsidR="001E33F8">
        <w:rPr>
          <w:i/>
          <w:szCs w:val="20"/>
          <w:u w:val="single"/>
        </w:rPr>
        <w:t>0</w:t>
      </w:r>
      <w:r w:rsidR="00BD0893" w:rsidRPr="001C6ABD">
        <w:rPr>
          <w:i/>
          <w:szCs w:val="20"/>
          <w:u w:val="single"/>
        </w:rPr>
        <w:t xml:space="preserve"> Aanbestedingsrechtmatigheid</w:t>
      </w:r>
    </w:p>
    <w:p w:rsidR="00BD0893" w:rsidRPr="00BD0893" w:rsidRDefault="00560211" w:rsidP="00BD0893">
      <w:pPr>
        <w:rPr>
          <w:i/>
          <w:szCs w:val="20"/>
        </w:rPr>
      </w:pPr>
      <w:r>
        <w:rPr>
          <w:i/>
          <w:szCs w:val="20"/>
        </w:rPr>
        <w:t>“</w:t>
      </w:r>
      <w:r w:rsidR="00BD0893" w:rsidRPr="00BD0893">
        <w:rPr>
          <w:i/>
          <w:szCs w:val="20"/>
        </w:rPr>
        <w:t>Naar aanleiding van onze controle hebben wij geconstateerd dat in een aantal gevallen de Europese aanbestedingsregels niet zijn nageleefd. Dit resulteert in een financiële onrechtmatigheid van € 3,</w:t>
      </w:r>
      <w:r w:rsidR="001E33F8">
        <w:rPr>
          <w:i/>
          <w:szCs w:val="20"/>
        </w:rPr>
        <w:t>1</w:t>
      </w:r>
      <w:r w:rsidR="00BD0893" w:rsidRPr="00BD0893">
        <w:rPr>
          <w:i/>
          <w:szCs w:val="20"/>
        </w:rPr>
        <w:t xml:space="preserve"> miljoen, welke met name wordt veroorzaakt door inhuur personeel en door softwarecontracten.</w:t>
      </w:r>
    </w:p>
    <w:p w:rsidR="00BD0893" w:rsidRPr="00BD0893" w:rsidRDefault="00BD0893" w:rsidP="00BD0893">
      <w:pPr>
        <w:rPr>
          <w:i/>
          <w:szCs w:val="20"/>
        </w:rPr>
      </w:pPr>
      <w:r w:rsidRPr="00BD0893">
        <w:rPr>
          <w:i/>
          <w:szCs w:val="20"/>
        </w:rPr>
        <w:t>De geconstateerde onrechtmatigheden zijn in drie categorieën te classificeren:</w:t>
      </w:r>
    </w:p>
    <w:p w:rsidR="00BD0893" w:rsidRDefault="00BD0893" w:rsidP="00BD0893">
      <w:pPr>
        <w:pStyle w:val="Lijstalinea"/>
        <w:numPr>
          <w:ilvl w:val="0"/>
          <w:numId w:val="41"/>
        </w:numPr>
        <w:ind w:left="284" w:hanging="284"/>
        <w:rPr>
          <w:i/>
          <w:szCs w:val="20"/>
        </w:rPr>
      </w:pPr>
      <w:r w:rsidRPr="00BD0893">
        <w:rPr>
          <w:i/>
          <w:szCs w:val="20"/>
        </w:rPr>
        <w:t>Doorlopende fouten die reeds voorgaand jaar zijn geconstateerd van € 1,</w:t>
      </w:r>
      <w:r w:rsidR="001E33F8">
        <w:rPr>
          <w:i/>
          <w:szCs w:val="20"/>
        </w:rPr>
        <w:t>5</w:t>
      </w:r>
      <w:r w:rsidRPr="00BD0893">
        <w:rPr>
          <w:i/>
          <w:szCs w:val="20"/>
        </w:rPr>
        <w:t xml:space="preserve"> miljoen;</w:t>
      </w:r>
    </w:p>
    <w:p w:rsidR="00BD0893" w:rsidRDefault="00BD0893" w:rsidP="00BD0893">
      <w:pPr>
        <w:pStyle w:val="Lijstalinea"/>
        <w:numPr>
          <w:ilvl w:val="0"/>
          <w:numId w:val="41"/>
        </w:numPr>
        <w:ind w:left="284" w:hanging="284"/>
        <w:rPr>
          <w:i/>
          <w:szCs w:val="20"/>
        </w:rPr>
      </w:pPr>
      <w:r w:rsidRPr="00BD0893">
        <w:rPr>
          <w:i/>
          <w:szCs w:val="20"/>
        </w:rPr>
        <w:t>Geconstateerde fouten waarvan de financiële beheershandeling</w:t>
      </w:r>
      <w:r w:rsidR="001C6ABD">
        <w:rPr>
          <w:i/>
          <w:szCs w:val="20"/>
        </w:rPr>
        <w:t xml:space="preserve"> </w:t>
      </w:r>
      <w:r w:rsidRPr="00BD0893">
        <w:rPr>
          <w:i/>
          <w:szCs w:val="20"/>
        </w:rPr>
        <w:t>dateert uit eerdere jaren van € 1 miljoen;</w:t>
      </w:r>
    </w:p>
    <w:p w:rsidR="00BD0893" w:rsidRPr="00BD0893" w:rsidRDefault="00BD0893" w:rsidP="00BD0893">
      <w:pPr>
        <w:pStyle w:val="Lijstalinea"/>
        <w:numPr>
          <w:ilvl w:val="0"/>
          <w:numId w:val="41"/>
        </w:numPr>
        <w:ind w:left="284" w:hanging="284"/>
        <w:rPr>
          <w:i/>
          <w:szCs w:val="20"/>
        </w:rPr>
      </w:pPr>
      <w:r w:rsidRPr="00BD0893">
        <w:rPr>
          <w:i/>
          <w:szCs w:val="20"/>
        </w:rPr>
        <w:t>Onrechtmatigheden als gevolg van financiële beheershandelingen</w:t>
      </w:r>
      <w:r w:rsidR="001C6ABD">
        <w:rPr>
          <w:i/>
          <w:szCs w:val="20"/>
        </w:rPr>
        <w:t xml:space="preserve"> </w:t>
      </w:r>
      <w:r w:rsidRPr="00BD0893">
        <w:rPr>
          <w:i/>
          <w:szCs w:val="20"/>
        </w:rPr>
        <w:t>in 2019 ad € 0,6 miljoen.</w:t>
      </w:r>
      <w:r w:rsidR="00560211">
        <w:rPr>
          <w:i/>
          <w:szCs w:val="20"/>
        </w:rPr>
        <w:t>”</w:t>
      </w:r>
    </w:p>
    <w:p w:rsidR="00BD0893" w:rsidRDefault="00BD0893" w:rsidP="008604B9">
      <w:pPr>
        <w:rPr>
          <w:szCs w:val="20"/>
        </w:rPr>
      </w:pPr>
    </w:p>
    <w:p w:rsidR="00BD0893" w:rsidRPr="00BD0893" w:rsidRDefault="00BD0893" w:rsidP="00BD0893">
      <w:pPr>
        <w:rPr>
          <w:szCs w:val="20"/>
        </w:rPr>
      </w:pPr>
      <w:r w:rsidRPr="00BD0893">
        <w:rPr>
          <w:szCs w:val="20"/>
        </w:rPr>
        <w:t>Tegen de achtergrond van de complexe regelgeving voor inkoop- en</w:t>
      </w:r>
      <w:r>
        <w:rPr>
          <w:szCs w:val="20"/>
        </w:rPr>
        <w:t xml:space="preserve"> </w:t>
      </w:r>
      <w:r w:rsidRPr="00BD0893">
        <w:rPr>
          <w:szCs w:val="20"/>
        </w:rPr>
        <w:t>aanbesteding wordt gezocht naar de juiste balans tussen doelmatigheid en</w:t>
      </w:r>
      <w:r>
        <w:rPr>
          <w:szCs w:val="20"/>
        </w:rPr>
        <w:t xml:space="preserve"> </w:t>
      </w:r>
      <w:r w:rsidRPr="00BD0893">
        <w:rPr>
          <w:szCs w:val="20"/>
        </w:rPr>
        <w:t>rechtmatigheid.</w:t>
      </w:r>
    </w:p>
    <w:p w:rsidR="00BD0893" w:rsidRDefault="00BD0893" w:rsidP="00BD0893">
      <w:pPr>
        <w:rPr>
          <w:szCs w:val="20"/>
        </w:rPr>
      </w:pPr>
      <w:r>
        <w:rPr>
          <w:szCs w:val="20"/>
        </w:rPr>
        <w:t xml:space="preserve">In 2019 is een nadere analyse uitgevoerd om te </w:t>
      </w:r>
      <w:r w:rsidRPr="00BD0893">
        <w:rPr>
          <w:szCs w:val="20"/>
        </w:rPr>
        <w:t>achterhalen hoe</w:t>
      </w:r>
      <w:r>
        <w:rPr>
          <w:szCs w:val="20"/>
        </w:rPr>
        <w:t xml:space="preserve"> </w:t>
      </w:r>
      <w:r w:rsidRPr="00BD0893">
        <w:rPr>
          <w:szCs w:val="20"/>
        </w:rPr>
        <w:t>d</w:t>
      </w:r>
      <w:r>
        <w:rPr>
          <w:szCs w:val="20"/>
        </w:rPr>
        <w:t>i</w:t>
      </w:r>
      <w:r w:rsidRPr="00BD0893">
        <w:rPr>
          <w:szCs w:val="20"/>
        </w:rPr>
        <w:t xml:space="preserve">e onrechtmatigheden tot stand komen en wat we daarvan kunnen leren. </w:t>
      </w:r>
      <w:r>
        <w:rPr>
          <w:szCs w:val="20"/>
        </w:rPr>
        <w:t>Op basis van de analyse zijn m</w:t>
      </w:r>
      <w:r w:rsidRPr="00BD0893">
        <w:rPr>
          <w:szCs w:val="20"/>
        </w:rPr>
        <w:t xml:space="preserve">et de directie </w:t>
      </w:r>
      <w:r>
        <w:rPr>
          <w:szCs w:val="20"/>
        </w:rPr>
        <w:t xml:space="preserve">de </w:t>
      </w:r>
      <w:r w:rsidRPr="00BD0893">
        <w:rPr>
          <w:szCs w:val="20"/>
        </w:rPr>
        <w:t xml:space="preserve">maatregelen besproken om onrechtmatigheden in de toekomst </w:t>
      </w:r>
      <w:r>
        <w:rPr>
          <w:szCs w:val="20"/>
        </w:rPr>
        <w:t xml:space="preserve">nog </w:t>
      </w:r>
      <w:r w:rsidRPr="00BD0893">
        <w:rPr>
          <w:szCs w:val="20"/>
        </w:rPr>
        <w:t>verder</w:t>
      </w:r>
      <w:r>
        <w:rPr>
          <w:szCs w:val="20"/>
        </w:rPr>
        <w:t xml:space="preserve"> </w:t>
      </w:r>
      <w:r w:rsidRPr="00BD0893">
        <w:rPr>
          <w:szCs w:val="20"/>
        </w:rPr>
        <w:t>terug te dringen.</w:t>
      </w:r>
    </w:p>
    <w:p w:rsidR="0007326E" w:rsidRDefault="0007326E" w:rsidP="008604B9">
      <w:pPr>
        <w:rPr>
          <w:szCs w:val="20"/>
        </w:rPr>
      </w:pPr>
    </w:p>
    <w:p w:rsidR="00BD0893" w:rsidRPr="00F54EBB" w:rsidRDefault="00F26AC5" w:rsidP="008604B9">
      <w:pPr>
        <w:rPr>
          <w:szCs w:val="20"/>
          <w:u w:val="single"/>
        </w:rPr>
      </w:pPr>
      <w:r w:rsidRPr="00F54EBB">
        <w:rPr>
          <w:szCs w:val="20"/>
          <w:u w:val="single"/>
        </w:rPr>
        <w:t>Boardletter</w:t>
      </w:r>
    </w:p>
    <w:p w:rsidR="00F26AC5" w:rsidRPr="00F26AC5" w:rsidRDefault="00F26AC5" w:rsidP="00F26AC5">
      <w:pPr>
        <w:rPr>
          <w:szCs w:val="20"/>
        </w:rPr>
      </w:pPr>
      <w:r w:rsidRPr="00F26AC5">
        <w:rPr>
          <w:szCs w:val="20"/>
        </w:rPr>
        <w:t xml:space="preserve">BDO brengt op verzoek van PS tegelijk met het accountantsverslag ook de boardletter uit. De boardletter wordt </w:t>
      </w:r>
      <w:r w:rsidR="00F54EBB">
        <w:rPr>
          <w:szCs w:val="20"/>
        </w:rPr>
        <w:t xml:space="preserve">tegelijk met </w:t>
      </w:r>
      <w:r w:rsidRPr="00F26AC5">
        <w:rPr>
          <w:szCs w:val="20"/>
        </w:rPr>
        <w:t>het accountantsverslag aan PS aangeboden</w:t>
      </w:r>
      <w:r w:rsidR="00F54EBB">
        <w:rPr>
          <w:szCs w:val="20"/>
        </w:rPr>
        <w:t xml:space="preserve"> (zie bijlage 4c)</w:t>
      </w:r>
      <w:r w:rsidRPr="00F26AC5">
        <w:rPr>
          <w:szCs w:val="20"/>
        </w:rPr>
        <w:t>.</w:t>
      </w:r>
    </w:p>
    <w:p w:rsidR="00F26AC5" w:rsidRPr="00F26AC5" w:rsidRDefault="00F26AC5" w:rsidP="00F26AC5">
      <w:pPr>
        <w:rPr>
          <w:szCs w:val="20"/>
        </w:rPr>
      </w:pPr>
    </w:p>
    <w:p w:rsidR="00F26AC5" w:rsidRPr="00F26AC5" w:rsidRDefault="00F26AC5" w:rsidP="00F26AC5">
      <w:pPr>
        <w:rPr>
          <w:szCs w:val="20"/>
        </w:rPr>
      </w:pPr>
      <w:r w:rsidRPr="00F26AC5">
        <w:rPr>
          <w:szCs w:val="20"/>
        </w:rPr>
        <w:t xml:space="preserve">De boardletter zou normaal gesproken als resultaat van de interimcontrole door de accountant in oktober 2019 aan PS zijn uitgebracht met als doel om richting de aankomende controle op de jaarrekening, nog bij te kunnen sturen. Omdat door PS echter op dat moment nog geen accountant was aangewezen, heeft deze boardletter wat langer op zich laten wachten en is de interimcontrole uitmondend in de boardletter pas in januari 2020 gestart. </w:t>
      </w:r>
    </w:p>
    <w:p w:rsidR="00F26AC5" w:rsidRPr="00F26AC5" w:rsidRDefault="00F26AC5" w:rsidP="00F26AC5">
      <w:pPr>
        <w:rPr>
          <w:szCs w:val="20"/>
        </w:rPr>
      </w:pPr>
    </w:p>
    <w:p w:rsidR="00F26AC5" w:rsidRPr="00F26AC5" w:rsidRDefault="00F26AC5" w:rsidP="00F26AC5">
      <w:pPr>
        <w:rPr>
          <w:szCs w:val="20"/>
        </w:rPr>
      </w:pPr>
      <w:r w:rsidRPr="00F26AC5">
        <w:rPr>
          <w:szCs w:val="20"/>
        </w:rPr>
        <w:t>In de boardletter richt de accountant zich op mogelijke verbeterpunten in de bedrijfsvoering en op verbeteringen in de processen die zijn onderzocht in het kader van de controle op de jaarrekening. De boardletter is daarom van nature kritisch van aard. Dit heeft tot doel een bijdrage te leveren aan de interne beheersing en het zelfcontrolerend vermogen van de provincie.</w:t>
      </w:r>
    </w:p>
    <w:p w:rsidR="00F26AC5" w:rsidRPr="00F26AC5" w:rsidRDefault="00F26AC5" w:rsidP="00F26AC5">
      <w:pPr>
        <w:rPr>
          <w:szCs w:val="20"/>
        </w:rPr>
      </w:pPr>
    </w:p>
    <w:p w:rsidR="00F26AC5" w:rsidRPr="005C15E7" w:rsidRDefault="00F26AC5" w:rsidP="00F26AC5">
      <w:pPr>
        <w:rPr>
          <w:szCs w:val="20"/>
        </w:rPr>
      </w:pPr>
      <w:r w:rsidRPr="00F26AC5">
        <w:rPr>
          <w:szCs w:val="20"/>
        </w:rPr>
        <w:t xml:space="preserve">De accountant concludeert dat de interne beheersing als geheel (Three lines of defense) in de basis toereikend is om materiële onjuistheden en/of onrechtmatigheden in het kader van de jaarrekeningcontrole te ontdekken en corrigeren. Wel </w:t>
      </w:r>
      <w:r w:rsidR="002D6319">
        <w:rPr>
          <w:szCs w:val="20"/>
        </w:rPr>
        <w:t>heeft</w:t>
      </w:r>
      <w:r w:rsidRPr="00F26AC5">
        <w:rPr>
          <w:szCs w:val="20"/>
        </w:rPr>
        <w:t xml:space="preserve"> de accountant nog een aantal aanbevelingen en </w:t>
      </w:r>
      <w:r w:rsidRPr="005C15E7">
        <w:rPr>
          <w:szCs w:val="20"/>
        </w:rPr>
        <w:t>aandachtspunten ten aanzien van de interne beheersing te weten:</w:t>
      </w:r>
    </w:p>
    <w:p w:rsidR="00F26AC5" w:rsidRPr="005C15E7" w:rsidRDefault="00F26AC5" w:rsidP="00F26AC5">
      <w:pPr>
        <w:ind w:left="284" w:hanging="284"/>
        <w:rPr>
          <w:szCs w:val="20"/>
        </w:rPr>
      </w:pPr>
      <w:r w:rsidRPr="005C15E7">
        <w:rPr>
          <w:szCs w:val="20"/>
        </w:rPr>
        <w:t>-</w:t>
      </w:r>
      <w:r w:rsidRPr="005C15E7">
        <w:rPr>
          <w:szCs w:val="20"/>
        </w:rPr>
        <w:tab/>
        <w:t>Optimaliseren van het openbaar subsidieregister</w:t>
      </w:r>
      <w:r w:rsidR="00AB2702">
        <w:rPr>
          <w:szCs w:val="20"/>
        </w:rPr>
        <w:t>;</w:t>
      </w:r>
    </w:p>
    <w:p w:rsidR="00F26AC5" w:rsidRPr="005C15E7" w:rsidRDefault="00F26AC5" w:rsidP="00F26AC5">
      <w:pPr>
        <w:ind w:left="284" w:hanging="284"/>
        <w:rPr>
          <w:szCs w:val="20"/>
        </w:rPr>
      </w:pPr>
      <w:r w:rsidRPr="005C15E7">
        <w:rPr>
          <w:szCs w:val="20"/>
        </w:rPr>
        <w:t>-</w:t>
      </w:r>
      <w:r w:rsidRPr="005C15E7">
        <w:rPr>
          <w:szCs w:val="20"/>
        </w:rPr>
        <w:tab/>
      </w:r>
      <w:r w:rsidR="00AB2702">
        <w:rPr>
          <w:szCs w:val="20"/>
        </w:rPr>
        <w:t>C</w:t>
      </w:r>
      <w:r w:rsidR="001A7A7E">
        <w:rPr>
          <w:szCs w:val="20"/>
        </w:rPr>
        <w:t>ontrole</w:t>
      </w:r>
      <w:r w:rsidR="002D6319">
        <w:rPr>
          <w:szCs w:val="20"/>
        </w:rPr>
        <w:t xml:space="preserve"> orderdesk </w:t>
      </w:r>
      <w:r w:rsidR="001A7A7E">
        <w:rPr>
          <w:szCs w:val="20"/>
        </w:rPr>
        <w:t>uitbreiden ter borging van de aanbestedings</w:t>
      </w:r>
      <w:r w:rsidR="00AB2702">
        <w:rPr>
          <w:szCs w:val="20"/>
        </w:rPr>
        <w:t>-</w:t>
      </w:r>
      <w:r w:rsidR="001A7A7E">
        <w:rPr>
          <w:szCs w:val="20"/>
        </w:rPr>
        <w:t>rechtmatigheid</w:t>
      </w:r>
      <w:r w:rsidR="00AB2702">
        <w:rPr>
          <w:szCs w:val="20"/>
        </w:rPr>
        <w:t>;</w:t>
      </w:r>
    </w:p>
    <w:p w:rsidR="00F26AC5" w:rsidRPr="00F26AC5" w:rsidRDefault="00F26AC5" w:rsidP="00F26AC5">
      <w:pPr>
        <w:ind w:left="284" w:hanging="284"/>
        <w:rPr>
          <w:szCs w:val="20"/>
        </w:rPr>
      </w:pPr>
      <w:r w:rsidRPr="005C15E7">
        <w:rPr>
          <w:szCs w:val="20"/>
        </w:rPr>
        <w:t>-</w:t>
      </w:r>
      <w:r w:rsidRPr="005C15E7">
        <w:rPr>
          <w:szCs w:val="20"/>
        </w:rPr>
        <w:tab/>
        <w:t>Actualiseren van het interne</w:t>
      </w:r>
      <w:r w:rsidRPr="00F26AC5">
        <w:rPr>
          <w:szCs w:val="20"/>
        </w:rPr>
        <w:t xml:space="preserve"> auditplan </w:t>
      </w:r>
      <w:r w:rsidR="00AC6A13">
        <w:rPr>
          <w:szCs w:val="20"/>
        </w:rPr>
        <w:t xml:space="preserve">(de controle-aantallen e.d.) </w:t>
      </w:r>
      <w:r w:rsidRPr="00F26AC5">
        <w:rPr>
          <w:szCs w:val="20"/>
        </w:rPr>
        <w:t>en de documentatie/ de rapportage van de interne controle optimaliseren</w:t>
      </w:r>
      <w:r w:rsidR="00AB2702">
        <w:rPr>
          <w:szCs w:val="20"/>
        </w:rPr>
        <w:t>;</w:t>
      </w:r>
    </w:p>
    <w:p w:rsidR="00F26AC5" w:rsidRPr="00F26AC5" w:rsidRDefault="00F26AC5" w:rsidP="00F26AC5">
      <w:pPr>
        <w:ind w:left="284" w:hanging="284"/>
        <w:rPr>
          <w:szCs w:val="20"/>
        </w:rPr>
      </w:pPr>
      <w:r w:rsidRPr="00F26AC5">
        <w:rPr>
          <w:szCs w:val="20"/>
        </w:rPr>
        <w:t>-</w:t>
      </w:r>
      <w:r w:rsidRPr="00F26AC5">
        <w:rPr>
          <w:szCs w:val="20"/>
        </w:rPr>
        <w:tab/>
        <w:t xml:space="preserve">Verbetering aanbrengen in het proces rondom toekennen, wijzigen en intrekken van rechten </w:t>
      </w:r>
      <w:r w:rsidR="001A7A7E">
        <w:rPr>
          <w:szCs w:val="20"/>
        </w:rPr>
        <w:t xml:space="preserve">in sap hana, </w:t>
      </w:r>
      <w:r w:rsidRPr="00F26AC5">
        <w:rPr>
          <w:szCs w:val="20"/>
        </w:rPr>
        <w:t xml:space="preserve">alsmede </w:t>
      </w:r>
      <w:r w:rsidR="001A7A7E">
        <w:rPr>
          <w:szCs w:val="20"/>
        </w:rPr>
        <w:t>van de periodieke review hierop</w:t>
      </w:r>
      <w:r w:rsidR="00AB2702">
        <w:rPr>
          <w:szCs w:val="20"/>
        </w:rPr>
        <w:t>;</w:t>
      </w:r>
    </w:p>
    <w:p w:rsidR="00F26AC5" w:rsidRPr="00F26AC5" w:rsidRDefault="00F26AC5" w:rsidP="00F26AC5">
      <w:pPr>
        <w:ind w:left="284" w:hanging="284"/>
        <w:rPr>
          <w:szCs w:val="20"/>
        </w:rPr>
      </w:pPr>
      <w:r w:rsidRPr="00F26AC5">
        <w:rPr>
          <w:szCs w:val="20"/>
        </w:rPr>
        <w:t>-</w:t>
      </w:r>
      <w:r w:rsidRPr="00F26AC5">
        <w:rPr>
          <w:szCs w:val="20"/>
        </w:rPr>
        <w:tab/>
        <w:t>Zorg voor voldoende controlemaatregel</w:t>
      </w:r>
      <w:r>
        <w:rPr>
          <w:szCs w:val="20"/>
        </w:rPr>
        <w:t>en</w:t>
      </w:r>
      <w:r w:rsidRPr="00F26AC5">
        <w:rPr>
          <w:szCs w:val="20"/>
        </w:rPr>
        <w:t xml:space="preserve"> om de regie voerende rol op de uitbestede IT beheeractiviteiten goed te kunnen vervullen.</w:t>
      </w:r>
    </w:p>
    <w:p w:rsidR="00F26AC5" w:rsidRPr="00F26AC5" w:rsidRDefault="00F26AC5" w:rsidP="00F26AC5">
      <w:pPr>
        <w:rPr>
          <w:szCs w:val="20"/>
        </w:rPr>
      </w:pPr>
    </w:p>
    <w:p w:rsidR="00F26AC5" w:rsidRPr="00F26AC5" w:rsidRDefault="00F26AC5" w:rsidP="00F26AC5">
      <w:pPr>
        <w:rPr>
          <w:szCs w:val="20"/>
        </w:rPr>
      </w:pPr>
      <w:r w:rsidRPr="00F26AC5">
        <w:rPr>
          <w:szCs w:val="20"/>
        </w:rPr>
        <w:t>Deze aanbevelingen en aandachtspunten worden opgevolgd door de provincie en zijn grotendeels al gestart. Over de aanbeveling dat het inzicht in de verstrekte subsidies vergroot moet worden zodat u als PS uw functie goed kunt vervullen, treden we graag op een later moment in de commissie stur</w:t>
      </w:r>
      <w:r w:rsidR="00AC6A13">
        <w:rPr>
          <w:szCs w:val="20"/>
        </w:rPr>
        <w:t>en</w:t>
      </w:r>
      <w:r w:rsidRPr="00F26AC5">
        <w:rPr>
          <w:szCs w:val="20"/>
        </w:rPr>
        <w:t xml:space="preserve"> en verantwoord</w:t>
      </w:r>
      <w:r w:rsidR="00AC6A13">
        <w:rPr>
          <w:szCs w:val="20"/>
        </w:rPr>
        <w:t>en</w:t>
      </w:r>
      <w:r w:rsidRPr="00F26AC5">
        <w:rPr>
          <w:szCs w:val="20"/>
        </w:rPr>
        <w:t xml:space="preserve"> met u in overleg hoe aan deze behoefte kan worden voldaan.</w:t>
      </w:r>
    </w:p>
    <w:p w:rsidR="00F26AC5" w:rsidRPr="00F26AC5" w:rsidRDefault="00F26AC5" w:rsidP="00F26AC5">
      <w:pPr>
        <w:rPr>
          <w:szCs w:val="20"/>
        </w:rPr>
      </w:pPr>
    </w:p>
    <w:p w:rsidR="00D874BD" w:rsidRDefault="00F26AC5" w:rsidP="00F26AC5">
      <w:pPr>
        <w:rPr>
          <w:szCs w:val="20"/>
        </w:rPr>
      </w:pPr>
      <w:r w:rsidRPr="00F26AC5">
        <w:rPr>
          <w:szCs w:val="20"/>
        </w:rPr>
        <w:t>Daarnaast geeft de accountant in de boardletter aan dat het college van Gedeputeerde Staten met ingang van 2021 zelf een rechtmatigheids</w:t>
      </w:r>
      <w:r w:rsidR="00D874BD">
        <w:rPr>
          <w:szCs w:val="20"/>
        </w:rPr>
        <w:t xml:space="preserve">- </w:t>
      </w:r>
      <w:r w:rsidRPr="00F26AC5">
        <w:rPr>
          <w:szCs w:val="20"/>
        </w:rPr>
        <w:t xml:space="preserve">verantwoording moet afgeven. </w:t>
      </w:r>
    </w:p>
    <w:p w:rsidR="00F26AC5" w:rsidRPr="00F26AC5" w:rsidRDefault="00F26AC5" w:rsidP="00F26AC5">
      <w:pPr>
        <w:rPr>
          <w:szCs w:val="20"/>
        </w:rPr>
      </w:pPr>
      <w:r w:rsidRPr="00F26AC5">
        <w:rPr>
          <w:szCs w:val="20"/>
        </w:rPr>
        <w:t xml:space="preserve">Door Provinciale Staten moet de grens worden bepaald waarboven het College afwijkingen moet opnemen in de rechtmatigheidsverantwoording (tolerantiegrens), Zoals al door de commissie BADO in maart 2020 in de “notitie </w:t>
      </w:r>
      <w:r w:rsidRPr="00F26AC5">
        <w:rPr>
          <w:szCs w:val="20"/>
        </w:rPr>
        <w:lastRenderedPageBreak/>
        <w:t>Rechtmatigheidsverantwoording” is aangegeven moet dit gren</w:t>
      </w:r>
      <w:r w:rsidR="00454173">
        <w:rPr>
          <w:szCs w:val="20"/>
        </w:rPr>
        <w:t>sbedrag niet te laag zijn omdat:</w:t>
      </w:r>
    </w:p>
    <w:p w:rsidR="00F26AC5" w:rsidRPr="00F26AC5" w:rsidRDefault="00F26AC5" w:rsidP="00F26AC5">
      <w:pPr>
        <w:ind w:left="284" w:hanging="284"/>
        <w:rPr>
          <w:szCs w:val="20"/>
        </w:rPr>
      </w:pPr>
      <w:r w:rsidRPr="00F26AC5">
        <w:rPr>
          <w:szCs w:val="20"/>
        </w:rPr>
        <w:t>•</w:t>
      </w:r>
      <w:r w:rsidRPr="00F26AC5">
        <w:rPr>
          <w:szCs w:val="20"/>
        </w:rPr>
        <w:tab/>
        <w:t>het enorm kostbaar en tijdrovend is om iedere euro die kan leiden tot een rechtmatigheidsfout of onduidelijkheid te controleren of te verantwoorden</w:t>
      </w:r>
      <w:r w:rsidR="00945F69">
        <w:rPr>
          <w:szCs w:val="20"/>
        </w:rPr>
        <w:t>;</w:t>
      </w:r>
    </w:p>
    <w:p w:rsidR="00F26AC5" w:rsidRPr="00F26AC5" w:rsidRDefault="00F26AC5" w:rsidP="00F26AC5">
      <w:pPr>
        <w:ind w:left="284" w:hanging="284"/>
        <w:rPr>
          <w:szCs w:val="20"/>
        </w:rPr>
      </w:pPr>
      <w:r w:rsidRPr="00F26AC5">
        <w:rPr>
          <w:szCs w:val="20"/>
        </w:rPr>
        <w:t>•</w:t>
      </w:r>
      <w:r w:rsidRPr="00F26AC5">
        <w:rPr>
          <w:szCs w:val="20"/>
        </w:rPr>
        <w:tab/>
        <w:t xml:space="preserve">Provinciale Staten op hoofdlijnen stuurt en daarom niet elke afwijking relevant </w:t>
      </w:r>
      <w:r w:rsidR="00454173">
        <w:rPr>
          <w:szCs w:val="20"/>
        </w:rPr>
        <w:t>is</w:t>
      </w:r>
      <w:r w:rsidRPr="00F26AC5">
        <w:rPr>
          <w:szCs w:val="20"/>
        </w:rPr>
        <w:t xml:space="preserve">. </w:t>
      </w:r>
    </w:p>
    <w:p w:rsidR="00F26AC5" w:rsidRDefault="00F26AC5" w:rsidP="00F26AC5">
      <w:pPr>
        <w:rPr>
          <w:szCs w:val="20"/>
        </w:rPr>
      </w:pPr>
      <w:r w:rsidRPr="00F26AC5">
        <w:rPr>
          <w:szCs w:val="20"/>
        </w:rPr>
        <w:t>Wanneer de Provinciewet en de lagere regelgeving, zoals het Besluit Begroting en Verantwoording (BBV) en het Besluit accountantscontrole decentrale overheden (BADO) zijn aangepast op het onderdeel rechtmatigheid en er nog meer duidelijkheid bestaat over de vereisten ten aanzien van de rechtmatigheids</w:t>
      </w:r>
      <w:r>
        <w:rPr>
          <w:szCs w:val="20"/>
        </w:rPr>
        <w:t>-</w:t>
      </w:r>
      <w:r w:rsidRPr="00F26AC5">
        <w:rPr>
          <w:szCs w:val="20"/>
        </w:rPr>
        <w:t>verantwoording zal de besluitvorming hiervoor worden voorbereid en worden ingebracht in de Staten zodat GS zelf de rechtmatigheidsverantwoording bij de jaarrekening 2021</w:t>
      </w:r>
      <w:r w:rsidR="00945F69">
        <w:rPr>
          <w:szCs w:val="20"/>
        </w:rPr>
        <w:t xml:space="preserve"> </w:t>
      </w:r>
      <w:r w:rsidRPr="00F26AC5">
        <w:rPr>
          <w:szCs w:val="20"/>
        </w:rPr>
        <w:t>kunnen gaan afgeven.</w:t>
      </w:r>
    </w:p>
    <w:p w:rsidR="00F26AC5" w:rsidRDefault="00F26AC5" w:rsidP="008604B9">
      <w:pPr>
        <w:rPr>
          <w:szCs w:val="20"/>
        </w:rPr>
      </w:pPr>
    </w:p>
    <w:p w:rsidR="00356FD1" w:rsidRDefault="00356FD1" w:rsidP="008604B9">
      <w:pPr>
        <w:rPr>
          <w:szCs w:val="20"/>
        </w:rPr>
      </w:pPr>
    </w:p>
    <w:p w:rsidR="008604B9" w:rsidRPr="00FB25BD" w:rsidRDefault="008604B9" w:rsidP="008604B9">
      <w:pPr>
        <w:rPr>
          <w:b/>
          <w:szCs w:val="20"/>
        </w:rPr>
      </w:pPr>
      <w:r>
        <w:rPr>
          <w:b/>
          <w:szCs w:val="20"/>
        </w:rPr>
        <w:t>5 Meerjarenperspectief ontwikkelbedrijf</w:t>
      </w:r>
    </w:p>
    <w:p w:rsidR="008604B9" w:rsidRPr="004B6102" w:rsidRDefault="008604B9" w:rsidP="008604B9">
      <w:pPr>
        <w:rPr>
          <w:szCs w:val="20"/>
        </w:rPr>
      </w:pPr>
      <w:r w:rsidRPr="004B6102">
        <w:rPr>
          <w:szCs w:val="20"/>
        </w:rPr>
        <w:t>Provinciale Staten hebben op 23 februari 2018 het Beheersstatuut</w:t>
      </w:r>
      <w:r>
        <w:rPr>
          <w:szCs w:val="20"/>
        </w:rPr>
        <w:t xml:space="preserve"> </w:t>
      </w:r>
      <w:r w:rsidRPr="004B6102">
        <w:rPr>
          <w:szCs w:val="20"/>
        </w:rPr>
        <w:t>Ontwikkelbedrijf provincie Noord- Brabant vastgesteld, hierna te noemen het</w:t>
      </w:r>
      <w:r>
        <w:rPr>
          <w:szCs w:val="20"/>
        </w:rPr>
        <w:t xml:space="preserve"> </w:t>
      </w:r>
      <w:r w:rsidRPr="004B6102">
        <w:rPr>
          <w:szCs w:val="20"/>
        </w:rPr>
        <w:t>Beheerstatuut Ontwikkelbedrijf versie 2.0 (Besluit PS 3/18). Volgens dit statuut</w:t>
      </w:r>
      <w:r>
        <w:rPr>
          <w:szCs w:val="20"/>
        </w:rPr>
        <w:t xml:space="preserve"> </w:t>
      </w:r>
      <w:r w:rsidRPr="004B6102">
        <w:rPr>
          <w:szCs w:val="20"/>
        </w:rPr>
        <w:t>(regel 1.4.-1) leggen gedeputeerde staten tweemaal per jaar, gelijktijdig met de</w:t>
      </w:r>
      <w:r>
        <w:rPr>
          <w:szCs w:val="20"/>
        </w:rPr>
        <w:t xml:space="preserve"> </w:t>
      </w:r>
      <w:r w:rsidRPr="004B6102">
        <w:rPr>
          <w:szCs w:val="20"/>
        </w:rPr>
        <w:t>begroting en de jaarstukken van de provincie, ter vaststelling een</w:t>
      </w:r>
      <w:r>
        <w:rPr>
          <w:szCs w:val="20"/>
        </w:rPr>
        <w:t xml:space="preserve"> </w:t>
      </w:r>
      <w:r w:rsidRPr="004B6102">
        <w:rPr>
          <w:szCs w:val="20"/>
        </w:rPr>
        <w:t>Meerjarenperspectief ontwikkelbedrijf aan Provinciale Staten voor.</w:t>
      </w:r>
      <w:r>
        <w:rPr>
          <w:szCs w:val="20"/>
        </w:rPr>
        <w:t xml:space="preserve"> </w:t>
      </w:r>
    </w:p>
    <w:p w:rsidR="008604B9" w:rsidRDefault="008604B9" w:rsidP="008604B9">
      <w:pPr>
        <w:rPr>
          <w:szCs w:val="20"/>
        </w:rPr>
      </w:pPr>
      <w:r w:rsidRPr="004B6102">
        <w:rPr>
          <w:szCs w:val="20"/>
        </w:rPr>
        <w:t xml:space="preserve">Dit meerjarenperspectief is als bijlage </w:t>
      </w:r>
      <w:r w:rsidR="00692490">
        <w:rPr>
          <w:szCs w:val="20"/>
        </w:rPr>
        <w:t>5</w:t>
      </w:r>
      <w:r w:rsidRPr="004B6102">
        <w:rPr>
          <w:szCs w:val="20"/>
        </w:rPr>
        <w:t xml:space="preserve"> bij de provinciale jaarstukken 201</w:t>
      </w:r>
      <w:r>
        <w:rPr>
          <w:szCs w:val="20"/>
        </w:rPr>
        <w:t>9</w:t>
      </w:r>
      <w:r w:rsidRPr="004B6102">
        <w:rPr>
          <w:szCs w:val="20"/>
        </w:rPr>
        <w:t xml:space="preserve"> ter</w:t>
      </w:r>
      <w:r>
        <w:rPr>
          <w:szCs w:val="20"/>
        </w:rPr>
        <w:t xml:space="preserve"> </w:t>
      </w:r>
      <w:r w:rsidRPr="004B6102">
        <w:rPr>
          <w:szCs w:val="20"/>
        </w:rPr>
        <w:t>vaststelling aangeboden aan Provinciale Staten.</w:t>
      </w:r>
    </w:p>
    <w:p w:rsidR="008604B9" w:rsidRDefault="008604B9" w:rsidP="008604B9">
      <w:pPr>
        <w:rPr>
          <w:i/>
          <w:szCs w:val="20"/>
        </w:rPr>
      </w:pPr>
    </w:p>
    <w:p w:rsidR="008604B9" w:rsidRDefault="008604B9" w:rsidP="008604B9">
      <w:pPr>
        <w:rPr>
          <w:i/>
          <w:szCs w:val="20"/>
        </w:rPr>
      </w:pPr>
    </w:p>
    <w:p w:rsidR="008604B9" w:rsidRPr="00FB25BD" w:rsidRDefault="008604B9" w:rsidP="008604B9">
      <w:pPr>
        <w:rPr>
          <w:b/>
          <w:szCs w:val="20"/>
        </w:rPr>
      </w:pPr>
      <w:r>
        <w:rPr>
          <w:b/>
          <w:szCs w:val="20"/>
        </w:rPr>
        <w:t xml:space="preserve">6 </w:t>
      </w:r>
      <w:r w:rsidRPr="00FB25BD">
        <w:rPr>
          <w:b/>
          <w:szCs w:val="20"/>
        </w:rPr>
        <w:t>Overige bijlagen bij dit statenvoorstel ter kennisneming</w:t>
      </w:r>
    </w:p>
    <w:p w:rsidR="008604B9" w:rsidRPr="00351F34" w:rsidRDefault="008604B9" w:rsidP="008604B9">
      <w:pPr>
        <w:rPr>
          <w:i/>
          <w:szCs w:val="20"/>
        </w:rPr>
      </w:pPr>
      <w:r>
        <w:rPr>
          <w:i/>
          <w:szCs w:val="20"/>
        </w:rPr>
        <w:t xml:space="preserve">a-) </w:t>
      </w:r>
      <w:r w:rsidRPr="00351F34">
        <w:rPr>
          <w:i/>
          <w:szCs w:val="20"/>
        </w:rPr>
        <w:t>Verantwoording (provinciale) Onderzoek</w:t>
      </w:r>
      <w:r>
        <w:rPr>
          <w:i/>
          <w:szCs w:val="20"/>
        </w:rPr>
        <w:t xml:space="preserve">en en </w:t>
      </w:r>
      <w:r w:rsidRPr="00351F34">
        <w:rPr>
          <w:i/>
          <w:szCs w:val="20"/>
        </w:rPr>
        <w:t>Advie</w:t>
      </w:r>
      <w:r>
        <w:rPr>
          <w:i/>
          <w:szCs w:val="20"/>
        </w:rPr>
        <w:t>zen</w:t>
      </w:r>
      <w:r w:rsidRPr="00351F34">
        <w:rPr>
          <w:i/>
          <w:szCs w:val="20"/>
        </w:rPr>
        <w:t xml:space="preserve"> 201</w:t>
      </w:r>
      <w:r>
        <w:rPr>
          <w:i/>
          <w:szCs w:val="20"/>
        </w:rPr>
        <w:t>9</w:t>
      </w:r>
      <w:r w:rsidRPr="00351F34">
        <w:rPr>
          <w:i/>
          <w:szCs w:val="20"/>
        </w:rPr>
        <w:t xml:space="preserve"> (bijlage </w:t>
      </w:r>
      <w:r w:rsidR="00692490">
        <w:rPr>
          <w:i/>
          <w:szCs w:val="20"/>
        </w:rPr>
        <w:t>6</w:t>
      </w:r>
      <w:r w:rsidRPr="00351F34">
        <w:rPr>
          <w:i/>
          <w:szCs w:val="20"/>
        </w:rPr>
        <w:t>)</w:t>
      </w:r>
    </w:p>
    <w:p w:rsidR="008604B9" w:rsidRPr="004F3AA9" w:rsidRDefault="008604B9" w:rsidP="008604B9">
      <w:pPr>
        <w:rPr>
          <w:szCs w:val="20"/>
        </w:rPr>
      </w:pPr>
      <w:r w:rsidRPr="004F3AA9">
        <w:rPr>
          <w:szCs w:val="20"/>
        </w:rPr>
        <w:t>Zoals met uw Staten is afgesproken, verantwoorden wij ons jaarlijks bij de jaarrekening over de uitvoering van onderzoeken en adviezen. Deze verantwoording is als bijlage bij d</w:t>
      </w:r>
      <w:r>
        <w:rPr>
          <w:szCs w:val="20"/>
        </w:rPr>
        <w:t>it statenvoorstel</w:t>
      </w:r>
      <w:r w:rsidRPr="004F3AA9">
        <w:rPr>
          <w:szCs w:val="20"/>
        </w:rPr>
        <w:t xml:space="preserve"> opgenomen.</w:t>
      </w:r>
    </w:p>
    <w:p w:rsidR="008604B9" w:rsidRPr="004F3AA9" w:rsidRDefault="008604B9" w:rsidP="008604B9">
      <w:pPr>
        <w:rPr>
          <w:szCs w:val="20"/>
        </w:rPr>
      </w:pPr>
    </w:p>
    <w:p w:rsidR="008604B9" w:rsidRPr="00351F34" w:rsidRDefault="008604B9" w:rsidP="008604B9">
      <w:pPr>
        <w:rPr>
          <w:i/>
          <w:szCs w:val="20"/>
        </w:rPr>
      </w:pPr>
      <w:r>
        <w:rPr>
          <w:i/>
          <w:szCs w:val="20"/>
        </w:rPr>
        <w:t xml:space="preserve">b-) </w:t>
      </w:r>
      <w:r w:rsidRPr="00351F34">
        <w:rPr>
          <w:i/>
          <w:szCs w:val="20"/>
        </w:rPr>
        <w:t xml:space="preserve">Zorgplicht archieven (bijlage </w:t>
      </w:r>
      <w:r w:rsidR="00692490">
        <w:rPr>
          <w:i/>
          <w:szCs w:val="20"/>
        </w:rPr>
        <w:t>7</w:t>
      </w:r>
      <w:r w:rsidRPr="00351F34">
        <w:rPr>
          <w:i/>
          <w:szCs w:val="20"/>
        </w:rPr>
        <w:t>)</w:t>
      </w:r>
    </w:p>
    <w:p w:rsidR="008604B9" w:rsidRPr="004F3AA9" w:rsidRDefault="008604B9" w:rsidP="008604B9">
      <w:pPr>
        <w:rPr>
          <w:szCs w:val="20"/>
        </w:rPr>
      </w:pPr>
      <w:r w:rsidRPr="004F3AA9">
        <w:rPr>
          <w:szCs w:val="20"/>
        </w:rPr>
        <w:t>In november 2013 (GS nr. 3457443) is de Archiefverordening van de provincie Noord-Brabant 1996 gewijzigd. Conform artikel 8 brengen Gedeputeerde Staten eenmaal per jaar verslag uit aan Provinciale Staten over wat zij hebben verricht ter uitvoering van de zorg van de archiefbescheiden van de provinciale organen, voor zover deze niet zijn overgebracht naar een archiefbewaarplaats. Het verslag over 201</w:t>
      </w:r>
      <w:r>
        <w:rPr>
          <w:szCs w:val="20"/>
        </w:rPr>
        <w:t>9</w:t>
      </w:r>
      <w:r w:rsidRPr="004F3AA9">
        <w:rPr>
          <w:szCs w:val="20"/>
        </w:rPr>
        <w:t xml:space="preserve"> is als bijlage ter kennisneming bij dit Statenvoorstel opgenomen.</w:t>
      </w:r>
    </w:p>
    <w:p w:rsidR="008604B9" w:rsidRDefault="008604B9" w:rsidP="008604B9">
      <w:pPr>
        <w:rPr>
          <w:szCs w:val="20"/>
        </w:rPr>
      </w:pPr>
    </w:p>
    <w:p w:rsidR="008604B9" w:rsidRPr="004F3AA9" w:rsidRDefault="008604B9" w:rsidP="008604B9">
      <w:pPr>
        <w:rPr>
          <w:b/>
          <w:szCs w:val="20"/>
        </w:rPr>
      </w:pPr>
      <w:r w:rsidRPr="004F3AA9">
        <w:rPr>
          <w:b/>
          <w:szCs w:val="20"/>
        </w:rPr>
        <w:t>Bevoegdheid</w:t>
      </w:r>
    </w:p>
    <w:p w:rsidR="008604B9" w:rsidRPr="004F3AA9" w:rsidRDefault="008604B9" w:rsidP="008604B9">
      <w:pPr>
        <w:rPr>
          <w:szCs w:val="20"/>
        </w:rPr>
      </w:pPr>
      <w:r w:rsidRPr="004F3AA9">
        <w:rPr>
          <w:szCs w:val="20"/>
        </w:rPr>
        <w:t>Het is de bevoegdheid van Provinciale Staten om de jaarstukken vast te stellen.</w:t>
      </w:r>
    </w:p>
    <w:p w:rsidR="008604B9" w:rsidRPr="004F3AA9" w:rsidRDefault="008604B9" w:rsidP="008604B9">
      <w:pPr>
        <w:rPr>
          <w:b/>
          <w:szCs w:val="20"/>
        </w:rPr>
      </w:pPr>
    </w:p>
    <w:p w:rsidR="008604B9" w:rsidRPr="004F3AA9" w:rsidRDefault="008604B9" w:rsidP="008604B9">
      <w:pPr>
        <w:rPr>
          <w:b/>
          <w:szCs w:val="20"/>
        </w:rPr>
      </w:pPr>
    </w:p>
    <w:p w:rsidR="008604B9" w:rsidRPr="004F3AA9" w:rsidRDefault="008604B9" w:rsidP="008604B9">
      <w:pPr>
        <w:rPr>
          <w:b/>
          <w:szCs w:val="20"/>
        </w:rPr>
      </w:pPr>
      <w:r w:rsidRPr="004F3AA9">
        <w:rPr>
          <w:b/>
          <w:szCs w:val="20"/>
        </w:rPr>
        <w:t>Bijlagen</w:t>
      </w:r>
    </w:p>
    <w:p w:rsidR="008604B9" w:rsidRPr="004F3AA9" w:rsidRDefault="008604B9" w:rsidP="008604B9">
      <w:pPr>
        <w:rPr>
          <w:szCs w:val="20"/>
        </w:rPr>
      </w:pPr>
      <w:r w:rsidRPr="004F3AA9">
        <w:rPr>
          <w:szCs w:val="20"/>
        </w:rPr>
        <w:lastRenderedPageBreak/>
        <w:t xml:space="preserve">Bijgevoegd treft u de volgende bijlagen aan: </w:t>
      </w:r>
    </w:p>
    <w:p w:rsidR="008604B9" w:rsidRPr="004F3AA9" w:rsidRDefault="008604B9" w:rsidP="008604B9">
      <w:pPr>
        <w:rPr>
          <w:szCs w:val="20"/>
        </w:rPr>
      </w:pPr>
      <w:r w:rsidRPr="004F3AA9">
        <w:rPr>
          <w:szCs w:val="20"/>
        </w:rPr>
        <w:t>1.</w:t>
      </w:r>
      <w:r w:rsidRPr="004F3AA9">
        <w:rPr>
          <w:szCs w:val="20"/>
        </w:rPr>
        <w:tab/>
        <w:t>Jaarstukken 201</w:t>
      </w:r>
      <w:r>
        <w:rPr>
          <w:szCs w:val="20"/>
        </w:rPr>
        <w:t>9</w:t>
      </w:r>
      <w:r w:rsidRPr="004F3AA9">
        <w:rPr>
          <w:szCs w:val="20"/>
        </w:rPr>
        <w:t xml:space="preserve"> inclusief bijlagenbundel </w:t>
      </w:r>
      <w:r>
        <w:rPr>
          <w:szCs w:val="20"/>
        </w:rPr>
        <w:t>(ter vaststelling)</w:t>
      </w:r>
    </w:p>
    <w:p w:rsidR="008604B9" w:rsidRPr="004F3AA9" w:rsidRDefault="008604B9" w:rsidP="008604B9">
      <w:pPr>
        <w:rPr>
          <w:szCs w:val="20"/>
        </w:rPr>
      </w:pPr>
      <w:r w:rsidRPr="004F3AA9">
        <w:rPr>
          <w:szCs w:val="20"/>
        </w:rPr>
        <w:t>2.</w:t>
      </w:r>
      <w:r w:rsidRPr="004F3AA9">
        <w:rPr>
          <w:szCs w:val="20"/>
        </w:rPr>
        <w:tab/>
        <w:t xml:space="preserve">Extra toevoegingen </w:t>
      </w:r>
      <w:r>
        <w:rPr>
          <w:szCs w:val="20"/>
        </w:rPr>
        <w:t xml:space="preserve">en onttrekkingen </w:t>
      </w:r>
      <w:r w:rsidRPr="004F3AA9">
        <w:rPr>
          <w:szCs w:val="20"/>
        </w:rPr>
        <w:t xml:space="preserve">aan reserves </w:t>
      </w:r>
      <w:r>
        <w:rPr>
          <w:szCs w:val="20"/>
        </w:rPr>
        <w:t>(ter vaststelling)</w:t>
      </w:r>
    </w:p>
    <w:p w:rsidR="008604B9" w:rsidRPr="004F3AA9" w:rsidRDefault="008604B9" w:rsidP="008604B9">
      <w:pPr>
        <w:rPr>
          <w:szCs w:val="20"/>
        </w:rPr>
      </w:pPr>
      <w:r w:rsidRPr="004F3AA9">
        <w:rPr>
          <w:szCs w:val="20"/>
        </w:rPr>
        <w:t>3.</w:t>
      </w:r>
      <w:r w:rsidRPr="004F3AA9">
        <w:rPr>
          <w:szCs w:val="20"/>
        </w:rPr>
        <w:tab/>
        <w:t xml:space="preserve">Overhevelingen </w:t>
      </w:r>
      <w:r>
        <w:rPr>
          <w:szCs w:val="20"/>
        </w:rPr>
        <w:t>(ter vaststelling)</w:t>
      </w:r>
    </w:p>
    <w:p w:rsidR="00F54EBB" w:rsidRDefault="008604B9" w:rsidP="008604B9">
      <w:pPr>
        <w:rPr>
          <w:szCs w:val="20"/>
        </w:rPr>
      </w:pPr>
      <w:r w:rsidRPr="004F3AA9">
        <w:rPr>
          <w:szCs w:val="20"/>
        </w:rPr>
        <w:t>4</w:t>
      </w:r>
      <w:r w:rsidR="00FA7873">
        <w:rPr>
          <w:szCs w:val="20"/>
        </w:rPr>
        <w:t>a</w:t>
      </w:r>
      <w:r w:rsidRPr="004F3AA9">
        <w:rPr>
          <w:szCs w:val="20"/>
        </w:rPr>
        <w:t>.</w:t>
      </w:r>
      <w:r w:rsidRPr="004F3AA9">
        <w:rPr>
          <w:szCs w:val="20"/>
        </w:rPr>
        <w:tab/>
      </w:r>
      <w:r w:rsidR="00F54EBB">
        <w:rPr>
          <w:szCs w:val="20"/>
        </w:rPr>
        <w:t>Normenkader</w:t>
      </w:r>
      <w:r w:rsidR="003B4E54">
        <w:rPr>
          <w:szCs w:val="20"/>
        </w:rPr>
        <w:t xml:space="preserve"> (ter kennisneming)</w:t>
      </w:r>
    </w:p>
    <w:p w:rsidR="008604B9" w:rsidRDefault="00F54EBB" w:rsidP="008604B9">
      <w:pPr>
        <w:rPr>
          <w:szCs w:val="20"/>
        </w:rPr>
      </w:pPr>
      <w:r>
        <w:rPr>
          <w:szCs w:val="20"/>
        </w:rPr>
        <w:t>4b</w:t>
      </w:r>
      <w:r>
        <w:rPr>
          <w:szCs w:val="20"/>
        </w:rPr>
        <w:tab/>
      </w:r>
      <w:r w:rsidR="008604B9" w:rsidRPr="004F3AA9">
        <w:rPr>
          <w:szCs w:val="20"/>
        </w:rPr>
        <w:t>Accountantsverslag en Controleverklaring</w:t>
      </w:r>
      <w:r w:rsidR="002D6491">
        <w:rPr>
          <w:szCs w:val="20"/>
        </w:rPr>
        <w:t xml:space="preserve"> (ter kennisneming)</w:t>
      </w:r>
    </w:p>
    <w:p w:rsidR="00FA7873" w:rsidRDefault="00FA7873" w:rsidP="008604B9">
      <w:pPr>
        <w:rPr>
          <w:szCs w:val="20"/>
        </w:rPr>
      </w:pPr>
      <w:r>
        <w:rPr>
          <w:szCs w:val="20"/>
        </w:rPr>
        <w:t>4</w:t>
      </w:r>
      <w:r w:rsidR="00F54EBB">
        <w:rPr>
          <w:szCs w:val="20"/>
        </w:rPr>
        <w:t>c</w:t>
      </w:r>
      <w:r>
        <w:rPr>
          <w:szCs w:val="20"/>
        </w:rPr>
        <w:tab/>
        <w:t>Boardletter</w:t>
      </w:r>
      <w:r w:rsidR="002D6491">
        <w:rPr>
          <w:szCs w:val="20"/>
        </w:rPr>
        <w:t xml:space="preserve"> (ter kennisneming)</w:t>
      </w:r>
    </w:p>
    <w:p w:rsidR="008604B9" w:rsidRDefault="008604B9" w:rsidP="008604B9">
      <w:pPr>
        <w:ind w:left="709" w:hanging="709"/>
        <w:rPr>
          <w:szCs w:val="20"/>
        </w:rPr>
      </w:pPr>
      <w:r>
        <w:rPr>
          <w:szCs w:val="20"/>
        </w:rPr>
        <w:t>5</w:t>
      </w:r>
      <w:r>
        <w:rPr>
          <w:szCs w:val="20"/>
        </w:rPr>
        <w:tab/>
      </w:r>
      <w:r w:rsidRPr="00232426">
        <w:rPr>
          <w:szCs w:val="20"/>
        </w:rPr>
        <w:t>Meerjarenperspectief ontwikkelbedrijf</w:t>
      </w:r>
      <w:r>
        <w:rPr>
          <w:szCs w:val="20"/>
        </w:rPr>
        <w:t xml:space="preserve"> (ter vaststelling)</w:t>
      </w:r>
    </w:p>
    <w:p w:rsidR="008604B9" w:rsidRDefault="008604B9" w:rsidP="008604B9">
      <w:pPr>
        <w:ind w:left="709" w:hanging="709"/>
        <w:rPr>
          <w:szCs w:val="20"/>
        </w:rPr>
      </w:pPr>
      <w:r>
        <w:rPr>
          <w:szCs w:val="20"/>
        </w:rPr>
        <w:t>6</w:t>
      </w:r>
      <w:r>
        <w:rPr>
          <w:szCs w:val="20"/>
        </w:rPr>
        <w:tab/>
      </w:r>
      <w:r w:rsidRPr="009E5BC1">
        <w:rPr>
          <w:szCs w:val="20"/>
        </w:rPr>
        <w:t>Verantwoording Onderzoeken en adviezen 2019 (ter kennisneming)</w:t>
      </w:r>
    </w:p>
    <w:p w:rsidR="008604B9" w:rsidRPr="004F3AA9" w:rsidRDefault="008604B9" w:rsidP="008604B9">
      <w:pPr>
        <w:ind w:left="709" w:hanging="709"/>
        <w:rPr>
          <w:szCs w:val="20"/>
        </w:rPr>
      </w:pPr>
      <w:r>
        <w:rPr>
          <w:szCs w:val="20"/>
        </w:rPr>
        <w:t>7</w:t>
      </w:r>
      <w:r>
        <w:rPr>
          <w:szCs w:val="20"/>
        </w:rPr>
        <w:tab/>
      </w:r>
      <w:r w:rsidRPr="00232426">
        <w:rPr>
          <w:szCs w:val="20"/>
        </w:rPr>
        <w:t>Verantwoording zorgplicht archieven (ter kennisneming)</w:t>
      </w:r>
      <w:r>
        <w:rPr>
          <w:szCs w:val="20"/>
        </w:rPr>
        <w:t>.</w:t>
      </w:r>
    </w:p>
    <w:p w:rsidR="008604B9" w:rsidRPr="004F3AA9" w:rsidRDefault="008604B9" w:rsidP="008604B9">
      <w:pPr>
        <w:rPr>
          <w:szCs w:val="20"/>
        </w:rPr>
      </w:pPr>
    </w:p>
    <w:p w:rsidR="004C1930" w:rsidRPr="00F034E7" w:rsidRDefault="004F4C3B" w:rsidP="004C1930">
      <w:pPr>
        <w:rPr>
          <w:szCs w:val="20"/>
        </w:rPr>
      </w:pPr>
    </w:p>
    <w:p w:rsidR="004C1930" w:rsidRPr="00F034E7" w:rsidRDefault="004F4C3B" w:rsidP="004C1930">
      <w:pPr>
        <w:rPr>
          <w:szCs w:val="20"/>
        </w:rPr>
      </w:pPr>
    </w:p>
    <w:tbl>
      <w:tblPr>
        <w:tblW w:w="0" w:type="auto"/>
        <w:tblLayout w:type="fixed"/>
        <w:tblCellMar>
          <w:left w:w="0" w:type="dxa"/>
          <w:right w:w="0" w:type="dxa"/>
        </w:tblCellMar>
        <w:tblLook w:val="04A0" w:firstRow="1" w:lastRow="0" w:firstColumn="1" w:lastColumn="0" w:noHBand="0" w:noVBand="1"/>
      </w:tblPr>
      <w:tblGrid>
        <w:gridCol w:w="7139"/>
      </w:tblGrid>
      <w:tr w:rsidR="00D8729F" w:rsidTr="00302D5B">
        <w:trPr>
          <w:cantSplit/>
        </w:trPr>
        <w:tc>
          <w:tcPr>
            <w:tcW w:w="7139" w:type="dxa"/>
          </w:tcPr>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FFFFF" w:themeFill="background1"/>
              <w:tblLayout w:type="fixed"/>
              <w:tblCellMar>
                <w:left w:w="0" w:type="dxa"/>
                <w:right w:w="0" w:type="dxa"/>
              </w:tblCellMar>
              <w:tblLook w:val="04A0" w:firstRow="1" w:lastRow="0" w:firstColumn="1" w:lastColumn="0" w:noHBand="0" w:noVBand="1"/>
            </w:tblPr>
            <w:tblGrid>
              <w:gridCol w:w="3570"/>
              <w:gridCol w:w="3571"/>
            </w:tblGrid>
            <w:tr w:rsidR="00D8729F" w:rsidTr="00065E17">
              <w:tc>
                <w:tcPr>
                  <w:tcW w:w="7141" w:type="dxa"/>
                  <w:gridSpan w:val="2"/>
                  <w:shd w:val="clear" w:color="auto" w:fill="FFFFFF" w:themeFill="background1"/>
                </w:tcPr>
                <w:p w:rsidR="00D2377E" w:rsidRDefault="008604B9" w:rsidP="00790F21">
                  <w:pPr>
                    <w:rPr>
                      <w:szCs w:val="20"/>
                    </w:rPr>
                  </w:pPr>
                  <w:r>
                    <w:t>Gedeputeerde Staten van Noord-</w:t>
                  </w:r>
                  <w:r w:rsidRPr="00870E80">
                    <w:t>Brabant,</w:t>
                  </w:r>
                </w:p>
                <w:p w:rsidR="00B30066" w:rsidRPr="00E570FC" w:rsidRDefault="004F4C3B" w:rsidP="00790F21">
                  <w:pPr>
                    <w:rPr>
                      <w:szCs w:val="20"/>
                    </w:rPr>
                  </w:pPr>
                </w:p>
              </w:tc>
            </w:tr>
            <w:tr w:rsidR="00D8729F" w:rsidTr="00065E17">
              <w:tc>
                <w:tcPr>
                  <w:tcW w:w="3570" w:type="dxa"/>
                  <w:shd w:val="clear" w:color="auto" w:fill="FFFFFF" w:themeFill="background1"/>
                </w:tcPr>
                <w:p w:rsidR="00ED78A0" w:rsidRPr="00D55930" w:rsidRDefault="008604B9" w:rsidP="00065E17">
                  <w:pPr>
                    <w:rPr>
                      <w:szCs w:val="20"/>
                    </w:rPr>
                  </w:pPr>
                  <w:r>
                    <w:rPr>
                      <w:szCs w:val="20"/>
                    </w:rPr>
                    <w:t>de voorzitter,</w:t>
                  </w:r>
                </w:p>
              </w:tc>
              <w:tc>
                <w:tcPr>
                  <w:tcW w:w="3571" w:type="dxa"/>
                  <w:shd w:val="clear" w:color="auto" w:fill="FFFFFF" w:themeFill="background1"/>
                </w:tcPr>
                <w:p w:rsidR="00ED78A0" w:rsidRPr="00D55930" w:rsidRDefault="008604B9" w:rsidP="00065E17">
                  <w:pPr>
                    <w:rPr>
                      <w:szCs w:val="20"/>
                    </w:rPr>
                  </w:pPr>
                  <w:r>
                    <w:rPr>
                      <w:szCs w:val="20"/>
                    </w:rPr>
                    <w:t>de secretaris,</w:t>
                  </w:r>
                </w:p>
              </w:tc>
            </w:tr>
            <w:tr w:rsidR="00D8729F" w:rsidTr="00065E17">
              <w:trPr>
                <w:trHeight w:hRule="exact" w:val="1701"/>
              </w:trPr>
              <w:tc>
                <w:tcPr>
                  <w:tcW w:w="7141" w:type="dxa"/>
                  <w:gridSpan w:val="2"/>
                  <w:shd w:val="clear" w:color="auto" w:fill="FFFFFF" w:themeFill="background1"/>
                </w:tcPr>
                <w:p w:rsidR="00613094" w:rsidRPr="00E570FC" w:rsidRDefault="004F4C3B" w:rsidP="00774FEF">
                  <w:pPr>
                    <w:rPr>
                      <w:szCs w:val="20"/>
                    </w:rPr>
                  </w:pPr>
                </w:p>
              </w:tc>
            </w:tr>
            <w:tr w:rsidR="00D8729F" w:rsidTr="00065E17">
              <w:tc>
                <w:tcPr>
                  <w:tcW w:w="3570" w:type="dxa"/>
                  <w:shd w:val="clear" w:color="auto" w:fill="FFFFFF" w:themeFill="background1"/>
                </w:tcPr>
                <w:p w:rsidR="00ED78A0" w:rsidRPr="00E570FC" w:rsidRDefault="008604B9" w:rsidP="00065E17">
                  <w:pPr>
                    <w:rPr>
                      <w:szCs w:val="20"/>
                    </w:rPr>
                  </w:pPr>
                  <w:r>
                    <w:t>prof. dr. W.B.H.J. van de Donk</w:t>
                  </w:r>
                </w:p>
              </w:tc>
              <w:tc>
                <w:tcPr>
                  <w:tcW w:w="3571" w:type="dxa"/>
                  <w:shd w:val="clear" w:color="auto" w:fill="FFFFFF" w:themeFill="background1"/>
                </w:tcPr>
                <w:p w:rsidR="00ED78A0" w:rsidRPr="00E570FC" w:rsidRDefault="008604B9" w:rsidP="00065E17">
                  <w:pPr>
                    <w:rPr>
                      <w:szCs w:val="20"/>
                    </w:rPr>
                  </w:pPr>
                  <w:r>
                    <w:t>drs. M.J.A. van Bijnen MBA</w:t>
                  </w:r>
                </w:p>
              </w:tc>
            </w:tr>
          </w:tbl>
          <w:p w:rsidR="00D8729F" w:rsidRDefault="00D8729F"/>
        </w:tc>
      </w:tr>
    </w:tbl>
    <w:p w:rsidR="004C1930" w:rsidRPr="00F034E7" w:rsidRDefault="004F4C3B" w:rsidP="004C1930">
      <w:pPr>
        <w:rPr>
          <w:szCs w:val="20"/>
        </w:rPr>
      </w:pPr>
    </w:p>
    <w:p w:rsidR="004C1930" w:rsidRDefault="004F4C3B" w:rsidP="004C1930">
      <w:pPr>
        <w:rPr>
          <w:szCs w:val="20"/>
        </w:rPr>
      </w:pPr>
    </w:p>
    <w:p w:rsidR="008D78E8" w:rsidRPr="00F034E7" w:rsidRDefault="008604B9" w:rsidP="004C1930">
      <w:pPr>
        <w:rPr>
          <w:szCs w:val="20"/>
        </w:rPr>
      </w:pPr>
      <w:r>
        <w:t>Programmamanag</w:t>
      </w:r>
      <w:r w:rsidRPr="001E46F7">
        <w:t>er:</w:t>
      </w:r>
      <w:r>
        <w:t xml:space="preserve"> de heer W. Fijnvandraat, wfijnvandraat@brabant.nl.</w:t>
      </w:r>
    </w:p>
    <w:p w:rsidR="0056061C" w:rsidRDefault="004F4C3B" w:rsidP="00C32F60"/>
    <w:p w:rsidR="0056061C" w:rsidRPr="00C32F60" w:rsidRDefault="008604B9" w:rsidP="00C32F60">
      <w:r w:rsidRPr="0056061C">
        <w:t>Opdrachtnemer</w:t>
      </w:r>
      <w:r>
        <w:t>: de heer J.B.A.M. Eppenhof,</w:t>
      </w:r>
      <w:r w:rsidRPr="0056061C">
        <w:rPr>
          <w:rFonts w:ascii="Times New Roman" w:hAnsi="Times New Roman"/>
          <w:sz w:val="24"/>
        </w:rPr>
        <w:t xml:space="preserve"> </w:t>
      </w:r>
      <w:r>
        <w:t>(06) 52 79 42 38, jeppenhof@brabant.nl.</w:t>
      </w:r>
    </w:p>
    <w:sectPr w:rsidR="0056061C" w:rsidRPr="00C32F60" w:rsidSect="00D45C51">
      <w:headerReference w:type="default" r:id="rId9"/>
      <w:footerReference w:type="default" r:id="rId10"/>
      <w:headerReference w:type="first" r:id="rId11"/>
      <w:pgSz w:w="11906" w:h="16838" w:code="9"/>
      <w:pgMar w:top="2325" w:right="3158" w:bottom="1418" w:left="158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B5C" w:rsidRDefault="00710B5C">
      <w:pPr>
        <w:spacing w:line="240" w:lineRule="auto"/>
      </w:pPr>
      <w:r>
        <w:separator/>
      </w:r>
    </w:p>
  </w:endnote>
  <w:endnote w:type="continuationSeparator" w:id="0">
    <w:p w:rsidR="00710B5C" w:rsidRDefault="00710B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Futura Book">
    <w:panose1 w:val="020B0502020204020303"/>
    <w:charset w:val="00"/>
    <w:family w:val="swiss"/>
    <w:pitch w:val="variable"/>
    <w:sig w:usb0="80000027" w:usb1="00000040" w:usb2="00000000" w:usb3="00000000" w:csb0="0000001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MT">
    <w:panose1 w:val="02020502070401020303"/>
    <w:charset w:val="00"/>
    <w:family w:val="roman"/>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aiandra GD">
    <w:altName w:val="Lucida Sans Unicode"/>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9B4" w:rsidRPr="00A26A1D" w:rsidRDefault="008604B9" w:rsidP="00A26A1D">
    <w:pPr>
      <w:pStyle w:val="Voettekst"/>
      <w:pBdr>
        <w:top w:val="nil"/>
        <w:left w:val="nil"/>
        <w:bottom w:val="nil"/>
        <w:right w:val="nil"/>
        <w:between w:val="nil"/>
        <w:bar w:val="nil"/>
      </w:pBdr>
    </w:pPr>
    <w:r>
      <w:tab/>
    </w:r>
    <w:r>
      <w:tab/>
    </w:r>
    <w:r>
      <w:rPr>
        <w:rStyle w:val="Paginanummer"/>
      </w:rPr>
      <w:fldChar w:fldCharType="begin"/>
    </w:r>
    <w:r>
      <w:rPr>
        <w:rStyle w:val="Paginanummer"/>
      </w:rPr>
      <w:instrText xml:space="preserve"> PAGE </w:instrText>
    </w:r>
    <w:r>
      <w:rPr>
        <w:rStyle w:val="Paginanummer"/>
      </w:rPr>
      <w:fldChar w:fldCharType="separate"/>
    </w:r>
    <w:r w:rsidR="004F4C3B">
      <w:rPr>
        <w:rStyle w:val="Paginanummer"/>
        <w:noProof/>
      </w:rPr>
      <w:t>8</w:t>
    </w:r>
    <w:r>
      <w:rPr>
        <w:rStyle w:val="Paginanummer"/>
      </w:rPr>
      <w:fldChar w:fldCharType="end"/>
    </w:r>
    <w:r>
      <w:rPr>
        <w:rStyle w:val="Paginanummer"/>
      </w:rPr>
      <w:t>/</w:t>
    </w:r>
    <w:r>
      <w:rPr>
        <w:rStyle w:val="Paginanummer"/>
      </w:rPr>
      <w:fldChar w:fldCharType="begin"/>
    </w:r>
    <w:r>
      <w:rPr>
        <w:rStyle w:val="Paginanummer"/>
      </w:rPr>
      <w:instrText xml:space="preserve"> SECTIONPAGES   \* MERGEFORMAT </w:instrText>
    </w:r>
    <w:r>
      <w:rPr>
        <w:rStyle w:val="Paginanummer"/>
      </w:rPr>
      <w:fldChar w:fldCharType="separate"/>
    </w:r>
    <w:r w:rsidR="004F4C3B">
      <w:rPr>
        <w:rStyle w:val="Paginanummer"/>
        <w:noProof/>
      </w:rPr>
      <w:t>12</w:t>
    </w:r>
    <w:r>
      <w:rPr>
        <w:rStyle w:val="Paginanumm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B5C" w:rsidRDefault="00710B5C">
      <w:pPr>
        <w:spacing w:line="240" w:lineRule="auto"/>
      </w:pPr>
      <w:r>
        <w:separator/>
      </w:r>
    </w:p>
  </w:footnote>
  <w:footnote w:type="continuationSeparator" w:id="0">
    <w:p w:rsidR="00710B5C" w:rsidRDefault="00710B5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9223" w:tblpY="2326"/>
      <w:tblW w:w="0" w:type="auto"/>
      <w:tblLayout w:type="fixed"/>
      <w:tblLook w:val="01E0" w:firstRow="1" w:lastRow="1" w:firstColumn="1" w:lastColumn="1" w:noHBand="0" w:noVBand="0"/>
    </w:tblPr>
    <w:tblGrid>
      <w:gridCol w:w="2390"/>
    </w:tblGrid>
    <w:tr w:rsidR="00D8729F" w:rsidTr="003F07AB">
      <w:trPr>
        <w:trHeight w:val="556"/>
      </w:trPr>
      <w:tc>
        <w:tcPr>
          <w:tcW w:w="2390" w:type="dxa"/>
        </w:tcPr>
        <w:p w:rsidR="00713898" w:rsidRPr="00764085" w:rsidRDefault="008604B9" w:rsidP="003F07AB">
          <w:pPr>
            <w:pStyle w:val="PNB"/>
            <w:rPr>
              <w:b/>
              <w:sz w:val="14"/>
              <w:szCs w:val="14"/>
            </w:rPr>
          </w:pPr>
          <w:r w:rsidRPr="00764085">
            <w:rPr>
              <w:b/>
              <w:sz w:val="14"/>
              <w:szCs w:val="14"/>
            </w:rPr>
            <w:t>Datum</w:t>
          </w:r>
        </w:p>
        <w:p w:rsidR="00713898" w:rsidRPr="00764085" w:rsidRDefault="00D874BD" w:rsidP="00D874BD">
          <w:pPr>
            <w:pStyle w:val="PNB"/>
          </w:pPr>
          <w:r>
            <w:t>26</w:t>
          </w:r>
          <w:r w:rsidR="008604B9">
            <w:t xml:space="preserve"> </w:t>
          </w:r>
          <w:r>
            <w:t>mei</w:t>
          </w:r>
          <w:r w:rsidR="008604B9">
            <w:t xml:space="preserve"> 2020</w:t>
          </w:r>
        </w:p>
      </w:tc>
    </w:tr>
    <w:tr w:rsidR="00D8729F" w:rsidTr="003F07AB">
      <w:trPr>
        <w:trHeight w:val="556"/>
      </w:trPr>
      <w:tc>
        <w:tcPr>
          <w:tcW w:w="2390" w:type="dxa"/>
        </w:tcPr>
        <w:p w:rsidR="00713898" w:rsidRPr="00764085" w:rsidRDefault="008604B9" w:rsidP="003F07AB">
          <w:pPr>
            <w:pStyle w:val="referentiekop"/>
          </w:pPr>
          <w:r>
            <w:t>Documentnummer</w:t>
          </w:r>
        </w:p>
        <w:p w:rsidR="00713898" w:rsidRPr="0086419B" w:rsidRDefault="00F44760" w:rsidP="003F07AB">
          <w:pPr>
            <w:rPr>
              <w:sz w:val="16"/>
              <w:lang w:val="fr-FR"/>
            </w:rPr>
          </w:pPr>
          <w:r>
            <w:rPr>
              <w:sz w:val="16"/>
              <w:lang w:val="fr-FR"/>
            </w:rPr>
            <w:t>GS : 4677060</w:t>
          </w:r>
        </w:p>
      </w:tc>
    </w:tr>
  </w:tbl>
  <w:p w:rsidR="00713898" w:rsidRDefault="004F4C3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
      <w:tblpPr w:rightFromText="142" w:vertAnchor="page" w:horzAnchor="page" w:tblpX="398" w:tblpY="398"/>
      <w:tblOverlap w:val="never"/>
      <w:tblW w:w="10773"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773"/>
    </w:tblGrid>
    <w:tr w:rsidR="00D8729F" w:rsidTr="00D721B0">
      <w:trPr>
        <w:cnfStyle w:val="100000000000" w:firstRow="1" w:lastRow="0" w:firstColumn="0" w:lastColumn="0" w:oddVBand="0" w:evenVBand="0" w:oddHBand="0" w:evenHBand="0" w:firstRowFirstColumn="0" w:firstRowLastColumn="0" w:lastRowFirstColumn="0" w:lastRowLastColumn="0"/>
      </w:trPr>
      <w:tc>
        <w:tcPr>
          <w:tcW w:w="10773" w:type="dxa"/>
        </w:tcPr>
        <w:p w:rsidR="00D721B0" w:rsidRDefault="008604B9" w:rsidP="00D721B0">
          <w:r>
            <w:rPr>
              <w:noProof/>
            </w:rPr>
            <w:drawing>
              <wp:inline distT="0" distB="0" distL="0" distR="0" wp14:anchorId="524A0E40" wp14:editId="524A0E41">
                <wp:extent cx="2012400" cy="2520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12400" cy="252000"/>
                        </a:xfrm>
                        <a:prstGeom prst="rect">
                          <a:avLst/>
                        </a:prstGeom>
                        <a:noFill/>
                        <a:ln>
                          <a:noFill/>
                        </a:ln>
                      </pic:spPr>
                    </pic:pic>
                  </a:graphicData>
                </a:graphic>
              </wp:inline>
            </w:drawing>
          </w:r>
        </w:p>
      </w:tc>
    </w:tr>
  </w:tbl>
  <w:p w:rsidR="001759B4" w:rsidRDefault="004F4C3B" w:rsidP="001759B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D5CBF86"/>
    <w:lvl w:ilvl="0">
      <w:start w:val="1"/>
      <w:numFmt w:val="decimal"/>
      <w:pStyle w:val="Lijstnummering5"/>
      <w:lvlText w:val="%1."/>
      <w:lvlJc w:val="left"/>
      <w:pPr>
        <w:tabs>
          <w:tab w:val="num" w:pos="1985"/>
        </w:tabs>
        <w:ind w:left="1985" w:hanging="794"/>
      </w:pPr>
      <w:rPr>
        <w:rFonts w:hint="default"/>
      </w:rPr>
    </w:lvl>
  </w:abstractNum>
  <w:abstractNum w:abstractNumId="1" w15:restartNumberingAfterBreak="0">
    <w:nsid w:val="FFFFFF7D"/>
    <w:multiLevelType w:val="singleLevel"/>
    <w:tmpl w:val="1E5AE91E"/>
    <w:lvl w:ilvl="0">
      <w:start w:val="1"/>
      <w:numFmt w:val="decimal"/>
      <w:pStyle w:val="Lijstnummering4"/>
      <w:lvlText w:val="%1."/>
      <w:lvlJc w:val="left"/>
      <w:pPr>
        <w:tabs>
          <w:tab w:val="num" w:pos="1985"/>
        </w:tabs>
        <w:ind w:left="1985" w:hanging="794"/>
      </w:pPr>
      <w:rPr>
        <w:rFonts w:hint="default"/>
      </w:rPr>
    </w:lvl>
  </w:abstractNum>
  <w:abstractNum w:abstractNumId="2" w15:restartNumberingAfterBreak="0">
    <w:nsid w:val="FFFFFF7E"/>
    <w:multiLevelType w:val="singleLevel"/>
    <w:tmpl w:val="94E83576"/>
    <w:lvl w:ilvl="0">
      <w:start w:val="1"/>
      <w:numFmt w:val="decimal"/>
      <w:pStyle w:val="Lijstnummering3"/>
      <w:lvlText w:val="%1."/>
      <w:lvlJc w:val="left"/>
      <w:pPr>
        <w:tabs>
          <w:tab w:val="num" w:pos="1191"/>
        </w:tabs>
        <w:ind w:left="1191" w:hanging="397"/>
      </w:pPr>
      <w:rPr>
        <w:rFonts w:hint="default"/>
      </w:rPr>
    </w:lvl>
  </w:abstractNum>
  <w:abstractNum w:abstractNumId="3" w15:restartNumberingAfterBreak="0">
    <w:nsid w:val="FFFFFF7F"/>
    <w:multiLevelType w:val="singleLevel"/>
    <w:tmpl w:val="35DA64A2"/>
    <w:lvl w:ilvl="0">
      <w:start w:val="1"/>
      <w:numFmt w:val="decimal"/>
      <w:pStyle w:val="Lijstnummering2"/>
      <w:lvlText w:val="%1."/>
      <w:lvlJc w:val="left"/>
      <w:pPr>
        <w:tabs>
          <w:tab w:val="num" w:pos="794"/>
        </w:tabs>
        <w:ind w:left="794" w:hanging="397"/>
      </w:pPr>
      <w:rPr>
        <w:rFonts w:hint="default"/>
      </w:rPr>
    </w:lvl>
  </w:abstractNum>
  <w:abstractNum w:abstractNumId="4" w15:restartNumberingAfterBreak="0">
    <w:nsid w:val="FFFFFF80"/>
    <w:multiLevelType w:val="singleLevel"/>
    <w:tmpl w:val="065C756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7A88C28"/>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192B89E"/>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2005F2"/>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BFAAE50"/>
    <w:lvl w:ilvl="0">
      <w:start w:val="1"/>
      <w:numFmt w:val="decimal"/>
      <w:pStyle w:val="Lijstnummering"/>
      <w:lvlText w:val="%1."/>
      <w:lvlJc w:val="left"/>
      <w:pPr>
        <w:tabs>
          <w:tab w:val="num" w:pos="397"/>
        </w:tabs>
        <w:ind w:left="397" w:hanging="397"/>
      </w:pPr>
      <w:rPr>
        <w:rFonts w:hint="default"/>
      </w:rPr>
    </w:lvl>
  </w:abstractNum>
  <w:abstractNum w:abstractNumId="9" w15:restartNumberingAfterBreak="0">
    <w:nsid w:val="FFFFFF89"/>
    <w:multiLevelType w:val="singleLevel"/>
    <w:tmpl w:val="0A7A2C86"/>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3905254"/>
    <w:multiLevelType w:val="multilevel"/>
    <w:tmpl w:val="DCECE678"/>
    <w:lvl w:ilvl="0">
      <w:start w:val="1"/>
      <w:numFmt w:val="decimal"/>
      <w:lvlText w:val="%1."/>
      <w:lvlJc w:val="left"/>
      <w:pPr>
        <w:ind w:left="567" w:hanging="567"/>
      </w:pPr>
      <w:rPr>
        <w:rFonts w:ascii="Futura Book" w:hAnsi="Futura Book" w:hint="default"/>
        <w:sz w:val="20"/>
      </w:rPr>
    </w:lvl>
    <w:lvl w:ilvl="1">
      <w:start w:val="1"/>
      <w:numFmt w:val="decimal"/>
      <w:isLgl/>
      <w:lvlText w:val="%1.%2"/>
      <w:lvlJc w:val="left"/>
      <w:pPr>
        <w:ind w:left="1134" w:hanging="567"/>
      </w:pPr>
      <w:rPr>
        <w:rFonts w:ascii="Futura Book" w:hAnsi="Futura Book" w:hint="default"/>
        <w:sz w:val="20"/>
      </w:rPr>
    </w:lvl>
    <w:lvl w:ilvl="2">
      <w:start w:val="1"/>
      <w:numFmt w:val="decimal"/>
      <w:isLgl/>
      <w:lvlText w:val="%2.%1.%3"/>
      <w:lvlJc w:val="left"/>
      <w:pPr>
        <w:ind w:left="1985" w:hanging="851"/>
      </w:pPr>
      <w:rPr>
        <w:rFonts w:ascii="Futura Book" w:hAnsi="Futura Book" w:hint="default"/>
        <w:sz w:val="20"/>
      </w:rPr>
    </w:lvl>
    <w:lvl w:ilvl="3">
      <w:start w:val="1"/>
      <w:numFmt w:val="decimal"/>
      <w:isLgl/>
      <w:lvlText w:val="%1.%3.%4"/>
      <w:lvlJc w:val="left"/>
      <w:pPr>
        <w:ind w:left="2835" w:hanging="850"/>
      </w:pPr>
      <w:rPr>
        <w:rFonts w:ascii="Futura Book" w:hAnsi="Futura Book" w:hint="default"/>
        <w:sz w:val="20"/>
      </w:rPr>
    </w:lvl>
    <w:lvl w:ilvl="4">
      <w:start w:val="1"/>
      <w:numFmt w:val="lowerLetter"/>
      <w:isLgl/>
      <w:lvlText w:val="(%5)"/>
      <w:lvlJc w:val="left"/>
      <w:pPr>
        <w:ind w:left="3402"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3FB63E9"/>
    <w:multiLevelType w:val="multilevel"/>
    <w:tmpl w:val="DCECE678"/>
    <w:lvl w:ilvl="0">
      <w:start w:val="1"/>
      <w:numFmt w:val="decimal"/>
      <w:lvlText w:val="%1."/>
      <w:lvlJc w:val="left"/>
      <w:pPr>
        <w:ind w:left="567" w:hanging="567"/>
      </w:pPr>
      <w:rPr>
        <w:rFonts w:ascii="Futura Book" w:hAnsi="Futura Book" w:hint="default"/>
        <w:sz w:val="20"/>
      </w:rPr>
    </w:lvl>
    <w:lvl w:ilvl="1">
      <w:start w:val="1"/>
      <w:numFmt w:val="decimal"/>
      <w:isLgl/>
      <w:lvlText w:val="%1.%2"/>
      <w:lvlJc w:val="left"/>
      <w:pPr>
        <w:ind w:left="1134" w:hanging="567"/>
      </w:pPr>
      <w:rPr>
        <w:rFonts w:ascii="Futura Book" w:hAnsi="Futura Book" w:hint="default"/>
        <w:sz w:val="20"/>
      </w:rPr>
    </w:lvl>
    <w:lvl w:ilvl="2">
      <w:start w:val="1"/>
      <w:numFmt w:val="decimal"/>
      <w:isLgl/>
      <w:lvlText w:val="%2.%1.%3"/>
      <w:lvlJc w:val="left"/>
      <w:pPr>
        <w:ind w:left="1985" w:hanging="851"/>
      </w:pPr>
      <w:rPr>
        <w:rFonts w:ascii="Futura Book" w:hAnsi="Futura Book" w:hint="default"/>
        <w:sz w:val="20"/>
      </w:rPr>
    </w:lvl>
    <w:lvl w:ilvl="3">
      <w:start w:val="1"/>
      <w:numFmt w:val="decimal"/>
      <w:isLgl/>
      <w:lvlText w:val="%1.%3.%4"/>
      <w:lvlJc w:val="left"/>
      <w:pPr>
        <w:ind w:left="2835" w:hanging="850"/>
      </w:pPr>
      <w:rPr>
        <w:rFonts w:ascii="Futura Book" w:hAnsi="Futura Book" w:hint="default"/>
        <w:sz w:val="20"/>
      </w:rPr>
    </w:lvl>
    <w:lvl w:ilvl="4">
      <w:start w:val="1"/>
      <w:numFmt w:val="lowerLetter"/>
      <w:isLgl/>
      <w:lvlText w:val="(%5)"/>
      <w:lvlJc w:val="left"/>
      <w:pPr>
        <w:ind w:left="3402"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4D460A2"/>
    <w:multiLevelType w:val="multilevel"/>
    <w:tmpl w:val="C952064C"/>
    <w:styleLink w:val="PNBopsomlijst"/>
    <w:lvl w:ilvl="0">
      <w:start w:val="1"/>
      <w:numFmt w:val="bullet"/>
      <w:pStyle w:val="PNBopsommen"/>
      <w:lvlText w:val="-"/>
      <w:lvlJc w:val="left"/>
      <w:pPr>
        <w:ind w:left="360" w:hanging="360"/>
      </w:pPr>
      <w:rPr>
        <w:rFonts w:ascii="Futura Book" w:hAnsi="Futura Book" w:hint="default"/>
        <w:color w:val="auto"/>
        <w:sz w:val="20"/>
      </w:rPr>
    </w:lvl>
    <w:lvl w:ilvl="1">
      <w:start w:val="1"/>
      <w:numFmt w:val="bullet"/>
      <w:lvlText w:val="-"/>
      <w:lvlJc w:val="left"/>
      <w:pPr>
        <w:ind w:left="720" w:hanging="360"/>
      </w:pPr>
      <w:rPr>
        <w:rFonts w:ascii="Futura Book" w:hAnsi="Futura Book" w:hint="default"/>
        <w:color w:val="auto"/>
        <w:sz w:val="18"/>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9535882"/>
    <w:multiLevelType w:val="multilevel"/>
    <w:tmpl w:val="0413001F"/>
    <w:styleLink w:val="111111"/>
    <w:lvl w:ilvl="0">
      <w:start w:val="1"/>
      <w:numFmt w:val="decimal"/>
      <w:lvlText w:val="%1."/>
      <w:lvlJc w:val="left"/>
      <w:pPr>
        <w:tabs>
          <w:tab w:val="num" w:pos="360"/>
        </w:tabs>
        <w:ind w:left="360" w:hanging="360"/>
      </w:pPr>
      <w:rPr>
        <w:rFonts w:ascii="Futura Book" w:hAnsi="Futura Book"/>
        <w:sz w:val="16"/>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0B672B41"/>
    <w:multiLevelType w:val="multilevel"/>
    <w:tmpl w:val="DCECE678"/>
    <w:lvl w:ilvl="0">
      <w:start w:val="1"/>
      <w:numFmt w:val="decimal"/>
      <w:lvlText w:val="%1."/>
      <w:lvlJc w:val="left"/>
      <w:pPr>
        <w:ind w:left="567" w:hanging="567"/>
      </w:pPr>
      <w:rPr>
        <w:rFonts w:ascii="Futura Book" w:hAnsi="Futura Book" w:hint="default"/>
        <w:sz w:val="20"/>
      </w:rPr>
    </w:lvl>
    <w:lvl w:ilvl="1">
      <w:start w:val="1"/>
      <w:numFmt w:val="decimal"/>
      <w:isLgl/>
      <w:lvlText w:val="%1.%2"/>
      <w:lvlJc w:val="left"/>
      <w:pPr>
        <w:ind w:left="1134" w:hanging="567"/>
      </w:pPr>
      <w:rPr>
        <w:rFonts w:ascii="Futura Book" w:hAnsi="Futura Book" w:hint="default"/>
        <w:sz w:val="20"/>
      </w:rPr>
    </w:lvl>
    <w:lvl w:ilvl="2">
      <w:start w:val="1"/>
      <w:numFmt w:val="decimal"/>
      <w:isLgl/>
      <w:lvlText w:val="%2.%1.%3"/>
      <w:lvlJc w:val="left"/>
      <w:pPr>
        <w:ind w:left="1985" w:hanging="851"/>
      </w:pPr>
      <w:rPr>
        <w:rFonts w:ascii="Futura Book" w:hAnsi="Futura Book" w:hint="default"/>
        <w:sz w:val="20"/>
      </w:rPr>
    </w:lvl>
    <w:lvl w:ilvl="3">
      <w:start w:val="1"/>
      <w:numFmt w:val="decimal"/>
      <w:isLgl/>
      <w:lvlText w:val="%1.%3.%4"/>
      <w:lvlJc w:val="left"/>
      <w:pPr>
        <w:ind w:left="2835" w:hanging="850"/>
      </w:pPr>
      <w:rPr>
        <w:rFonts w:ascii="Futura Book" w:hAnsi="Futura Book" w:hint="default"/>
        <w:sz w:val="20"/>
      </w:rPr>
    </w:lvl>
    <w:lvl w:ilvl="4">
      <w:start w:val="1"/>
      <w:numFmt w:val="lowerLetter"/>
      <w:isLgl/>
      <w:lvlText w:val="(%5)"/>
      <w:lvlJc w:val="left"/>
      <w:pPr>
        <w:ind w:left="3402"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BAF7A3F"/>
    <w:multiLevelType w:val="multilevel"/>
    <w:tmpl w:val="DCECE678"/>
    <w:lvl w:ilvl="0">
      <w:start w:val="1"/>
      <w:numFmt w:val="decimal"/>
      <w:lvlText w:val="%1."/>
      <w:lvlJc w:val="left"/>
      <w:pPr>
        <w:ind w:left="567" w:hanging="567"/>
      </w:pPr>
      <w:rPr>
        <w:rFonts w:ascii="Futura Book" w:hAnsi="Futura Book" w:hint="default"/>
        <w:sz w:val="20"/>
      </w:rPr>
    </w:lvl>
    <w:lvl w:ilvl="1">
      <w:start w:val="1"/>
      <w:numFmt w:val="decimal"/>
      <w:isLgl/>
      <w:lvlText w:val="%1.%2"/>
      <w:lvlJc w:val="left"/>
      <w:pPr>
        <w:ind w:left="1134" w:hanging="567"/>
      </w:pPr>
      <w:rPr>
        <w:rFonts w:ascii="Futura Book" w:hAnsi="Futura Book" w:hint="default"/>
        <w:sz w:val="20"/>
      </w:rPr>
    </w:lvl>
    <w:lvl w:ilvl="2">
      <w:start w:val="1"/>
      <w:numFmt w:val="decimal"/>
      <w:isLgl/>
      <w:lvlText w:val="%2.%1.%3"/>
      <w:lvlJc w:val="left"/>
      <w:pPr>
        <w:ind w:left="1985" w:hanging="851"/>
      </w:pPr>
      <w:rPr>
        <w:rFonts w:ascii="Futura Book" w:hAnsi="Futura Book" w:hint="default"/>
        <w:sz w:val="20"/>
      </w:rPr>
    </w:lvl>
    <w:lvl w:ilvl="3">
      <w:start w:val="1"/>
      <w:numFmt w:val="decimal"/>
      <w:isLgl/>
      <w:lvlText w:val="%1.%3.%4"/>
      <w:lvlJc w:val="left"/>
      <w:pPr>
        <w:ind w:left="2835" w:hanging="850"/>
      </w:pPr>
      <w:rPr>
        <w:rFonts w:ascii="Futura Book" w:hAnsi="Futura Book" w:hint="default"/>
        <w:sz w:val="20"/>
      </w:rPr>
    </w:lvl>
    <w:lvl w:ilvl="4">
      <w:start w:val="1"/>
      <w:numFmt w:val="lowerLetter"/>
      <w:isLgl/>
      <w:lvlText w:val="(%5)"/>
      <w:lvlJc w:val="left"/>
      <w:pPr>
        <w:ind w:left="3402"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0C87552"/>
    <w:multiLevelType w:val="hybridMultilevel"/>
    <w:tmpl w:val="2D3E157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110A72D2"/>
    <w:multiLevelType w:val="multilevel"/>
    <w:tmpl w:val="3932B52E"/>
    <w:styleLink w:val="PNB123-lijst"/>
    <w:lvl w:ilvl="0">
      <w:start w:val="1"/>
      <w:numFmt w:val="decimal"/>
      <w:pStyle w:val="PNB123-Lijst0"/>
      <w:lvlText w:val="%1"/>
      <w:lvlJc w:val="left"/>
      <w:pPr>
        <w:ind w:left="567" w:hanging="567"/>
      </w:pPr>
      <w:rPr>
        <w:rFonts w:ascii="Futura Book" w:hAnsi="Futura Book" w:hint="default"/>
        <w:sz w:val="20"/>
      </w:rPr>
    </w:lvl>
    <w:lvl w:ilvl="1">
      <w:start w:val="1"/>
      <w:numFmt w:val="decimal"/>
      <w:lvlText w:val="%1.%2"/>
      <w:lvlJc w:val="left"/>
      <w:pPr>
        <w:ind w:left="1134" w:hanging="567"/>
      </w:pPr>
      <w:rPr>
        <w:rFonts w:ascii="Futura Book" w:hAnsi="Futura Book" w:hint="default"/>
        <w:sz w:val="20"/>
      </w:rPr>
    </w:lvl>
    <w:lvl w:ilvl="2">
      <w:start w:val="1"/>
      <w:numFmt w:val="decimal"/>
      <w:lvlText w:val="%1.%2.%3"/>
      <w:lvlJc w:val="left"/>
      <w:pPr>
        <w:tabs>
          <w:tab w:val="num" w:pos="1134"/>
        </w:tabs>
        <w:ind w:left="1985" w:hanging="851"/>
      </w:pPr>
      <w:rPr>
        <w:rFonts w:ascii="Futura Book" w:hAnsi="Futura Book" w:hint="default"/>
        <w:sz w:val="20"/>
      </w:rPr>
    </w:lvl>
    <w:lvl w:ilvl="3">
      <w:start w:val="1"/>
      <w:numFmt w:val="decimal"/>
      <w:lvlText w:val="%1.%2.%3.%4"/>
      <w:lvlJc w:val="left"/>
      <w:pPr>
        <w:tabs>
          <w:tab w:val="num" w:pos="1985"/>
        </w:tabs>
        <w:ind w:left="2835" w:hanging="850"/>
      </w:pPr>
      <w:rPr>
        <w:rFonts w:ascii="Futura Book" w:hAnsi="Futura Book" w:hint="default"/>
        <w:sz w:val="20"/>
      </w:rPr>
    </w:lvl>
    <w:lvl w:ilvl="4">
      <w:start w:val="1"/>
      <w:numFmt w:val="decimal"/>
      <w:lvlText w:val="%1.%2.%3.%4.%5"/>
      <w:lvlJc w:val="left"/>
      <w:pPr>
        <w:tabs>
          <w:tab w:val="num" w:pos="2835"/>
        </w:tabs>
        <w:ind w:left="3969" w:hanging="1134"/>
      </w:pPr>
      <w:rPr>
        <w:rFonts w:ascii="Futura Book" w:hAnsi="Futura Book" w:hint="default"/>
        <w:sz w:val="20"/>
      </w:rPr>
    </w:lvl>
    <w:lvl w:ilvl="5">
      <w:start w:val="1"/>
      <w:numFmt w:val="decimal"/>
      <w:lvlText w:val="%1.%2.%3.%4.%5.%6"/>
      <w:lvlJc w:val="left"/>
      <w:pPr>
        <w:ind w:left="5103" w:hanging="1134"/>
      </w:pPr>
      <w:rPr>
        <w:rFonts w:ascii="Futura Book" w:hAnsi="Futura Book" w:hint="default"/>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4901E99"/>
    <w:multiLevelType w:val="multilevel"/>
    <w:tmpl w:val="3932B52E"/>
    <w:numStyleLink w:val="PNB123-lijst"/>
  </w:abstractNum>
  <w:abstractNum w:abstractNumId="19" w15:restartNumberingAfterBreak="0">
    <w:nsid w:val="1C00675C"/>
    <w:multiLevelType w:val="multilevel"/>
    <w:tmpl w:val="DCECE678"/>
    <w:lvl w:ilvl="0">
      <w:start w:val="1"/>
      <w:numFmt w:val="decimal"/>
      <w:lvlText w:val="%1."/>
      <w:lvlJc w:val="left"/>
      <w:pPr>
        <w:ind w:left="567" w:hanging="567"/>
      </w:pPr>
      <w:rPr>
        <w:rFonts w:ascii="Futura Book" w:hAnsi="Futura Book" w:hint="default"/>
        <w:sz w:val="20"/>
      </w:rPr>
    </w:lvl>
    <w:lvl w:ilvl="1">
      <w:start w:val="1"/>
      <w:numFmt w:val="decimal"/>
      <w:isLgl/>
      <w:lvlText w:val="%1.%2"/>
      <w:lvlJc w:val="left"/>
      <w:pPr>
        <w:ind w:left="1134" w:hanging="567"/>
      </w:pPr>
      <w:rPr>
        <w:rFonts w:ascii="Futura Book" w:hAnsi="Futura Book" w:hint="default"/>
        <w:sz w:val="20"/>
      </w:rPr>
    </w:lvl>
    <w:lvl w:ilvl="2">
      <w:start w:val="1"/>
      <w:numFmt w:val="decimal"/>
      <w:isLgl/>
      <w:lvlText w:val="%2.%1.%3"/>
      <w:lvlJc w:val="left"/>
      <w:pPr>
        <w:ind w:left="1985" w:hanging="851"/>
      </w:pPr>
      <w:rPr>
        <w:rFonts w:ascii="Futura Book" w:hAnsi="Futura Book" w:hint="default"/>
        <w:sz w:val="20"/>
      </w:rPr>
    </w:lvl>
    <w:lvl w:ilvl="3">
      <w:start w:val="1"/>
      <w:numFmt w:val="decimal"/>
      <w:isLgl/>
      <w:lvlText w:val="%1.%3.%4"/>
      <w:lvlJc w:val="left"/>
      <w:pPr>
        <w:ind w:left="2835" w:hanging="850"/>
      </w:pPr>
      <w:rPr>
        <w:rFonts w:ascii="Futura Book" w:hAnsi="Futura Book" w:hint="default"/>
        <w:sz w:val="20"/>
      </w:rPr>
    </w:lvl>
    <w:lvl w:ilvl="4">
      <w:start w:val="1"/>
      <w:numFmt w:val="lowerLetter"/>
      <w:isLgl/>
      <w:lvlText w:val="(%5)"/>
      <w:lvlJc w:val="left"/>
      <w:pPr>
        <w:ind w:left="3402"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2642203"/>
    <w:multiLevelType w:val="hybridMultilevel"/>
    <w:tmpl w:val="890AC1C6"/>
    <w:lvl w:ilvl="0" w:tplc="CFE65432">
      <w:start w:val="3"/>
      <w:numFmt w:val="bullet"/>
      <w:lvlText w:val="-"/>
      <w:lvlJc w:val="left"/>
      <w:pPr>
        <w:ind w:left="720" w:hanging="360"/>
      </w:pPr>
      <w:rPr>
        <w:rFonts w:ascii="Futura Book" w:eastAsia="Times New Roman" w:hAnsi="Futura Book"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25ED34BB"/>
    <w:multiLevelType w:val="multilevel"/>
    <w:tmpl w:val="FC04E50C"/>
    <w:styleLink w:val="PNBabclijst"/>
    <w:lvl w:ilvl="0">
      <w:start w:val="1"/>
      <w:numFmt w:val="upperLetter"/>
      <w:pStyle w:val="PNBabc-lijst"/>
      <w:lvlText w:val="%1."/>
      <w:lvlJc w:val="left"/>
      <w:pPr>
        <w:ind w:left="360" w:hanging="360"/>
      </w:pPr>
      <w:rPr>
        <w:rFonts w:ascii="Futura Book" w:hAnsi="Futura Book" w:hint="default"/>
        <w:sz w:val="20"/>
      </w:rPr>
    </w:lvl>
    <w:lvl w:ilvl="1">
      <w:start w:val="1"/>
      <w:numFmt w:val="decimal"/>
      <w:lvlText w:val="%2."/>
      <w:lvlJc w:val="left"/>
      <w:pPr>
        <w:ind w:left="720" w:hanging="360"/>
      </w:pPr>
      <w:rPr>
        <w:rFonts w:ascii="Futura Book" w:hAnsi="Futura Book" w:hint="default"/>
        <w:sz w:val="20"/>
      </w:rPr>
    </w:lvl>
    <w:lvl w:ilvl="2">
      <w:start w:val="1"/>
      <w:numFmt w:val="bullet"/>
      <w:lvlText w:val="-"/>
      <w:lvlJc w:val="left"/>
      <w:pPr>
        <w:ind w:left="1080" w:hanging="360"/>
      </w:pPr>
      <w:rPr>
        <w:rFonts w:ascii="Futura Book" w:hAnsi="Futura Book" w:hint="default"/>
        <w:color w:val="auto"/>
        <w:sz w:val="20"/>
      </w:rPr>
    </w:lvl>
    <w:lvl w:ilvl="3">
      <w:start w:val="1"/>
      <w:numFmt w:val="bullet"/>
      <w:lvlText w:val="-"/>
      <w:lvlJc w:val="left"/>
      <w:pPr>
        <w:ind w:left="1440" w:hanging="360"/>
      </w:pPr>
      <w:rPr>
        <w:rFonts w:ascii="Futura Book" w:hAnsi="Futura Book" w:hint="default"/>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D2B04D7"/>
    <w:multiLevelType w:val="multilevel"/>
    <w:tmpl w:val="FC04E50C"/>
    <w:numStyleLink w:val="PNBabclijst"/>
  </w:abstractNum>
  <w:abstractNum w:abstractNumId="23" w15:restartNumberingAfterBreak="0">
    <w:nsid w:val="2D8174BB"/>
    <w:multiLevelType w:val="multilevel"/>
    <w:tmpl w:val="DCECE678"/>
    <w:lvl w:ilvl="0">
      <w:start w:val="1"/>
      <w:numFmt w:val="decimal"/>
      <w:lvlText w:val="%1."/>
      <w:lvlJc w:val="left"/>
      <w:pPr>
        <w:ind w:left="567" w:hanging="567"/>
      </w:pPr>
      <w:rPr>
        <w:rFonts w:ascii="Futura Book" w:hAnsi="Futura Book" w:hint="default"/>
        <w:sz w:val="20"/>
      </w:rPr>
    </w:lvl>
    <w:lvl w:ilvl="1">
      <w:start w:val="1"/>
      <w:numFmt w:val="decimal"/>
      <w:isLgl/>
      <w:lvlText w:val="%1.%2"/>
      <w:lvlJc w:val="left"/>
      <w:pPr>
        <w:ind w:left="1134" w:hanging="567"/>
      </w:pPr>
      <w:rPr>
        <w:rFonts w:ascii="Futura Book" w:hAnsi="Futura Book" w:hint="default"/>
        <w:sz w:val="20"/>
      </w:rPr>
    </w:lvl>
    <w:lvl w:ilvl="2">
      <w:start w:val="1"/>
      <w:numFmt w:val="decimal"/>
      <w:isLgl/>
      <w:lvlText w:val="%2.%1.%3"/>
      <w:lvlJc w:val="left"/>
      <w:pPr>
        <w:ind w:left="1985" w:hanging="851"/>
      </w:pPr>
      <w:rPr>
        <w:rFonts w:ascii="Futura Book" w:hAnsi="Futura Book" w:hint="default"/>
        <w:sz w:val="20"/>
      </w:rPr>
    </w:lvl>
    <w:lvl w:ilvl="3">
      <w:start w:val="1"/>
      <w:numFmt w:val="decimal"/>
      <w:isLgl/>
      <w:lvlText w:val="%1.%3.%4"/>
      <w:lvlJc w:val="left"/>
      <w:pPr>
        <w:ind w:left="2835" w:hanging="850"/>
      </w:pPr>
      <w:rPr>
        <w:rFonts w:ascii="Futura Book" w:hAnsi="Futura Book" w:hint="default"/>
        <w:sz w:val="20"/>
      </w:rPr>
    </w:lvl>
    <w:lvl w:ilvl="4">
      <w:start w:val="1"/>
      <w:numFmt w:val="lowerLetter"/>
      <w:isLgl/>
      <w:lvlText w:val="(%5)"/>
      <w:lvlJc w:val="left"/>
      <w:pPr>
        <w:ind w:left="3402"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3975429"/>
    <w:multiLevelType w:val="multilevel"/>
    <w:tmpl w:val="DCECE678"/>
    <w:lvl w:ilvl="0">
      <w:start w:val="1"/>
      <w:numFmt w:val="decimal"/>
      <w:lvlText w:val="%1."/>
      <w:lvlJc w:val="left"/>
      <w:pPr>
        <w:ind w:left="567" w:hanging="567"/>
      </w:pPr>
      <w:rPr>
        <w:rFonts w:ascii="Futura Book" w:hAnsi="Futura Book" w:hint="default"/>
        <w:sz w:val="20"/>
      </w:rPr>
    </w:lvl>
    <w:lvl w:ilvl="1">
      <w:start w:val="1"/>
      <w:numFmt w:val="decimal"/>
      <w:isLgl/>
      <w:lvlText w:val="%1.%2"/>
      <w:lvlJc w:val="left"/>
      <w:pPr>
        <w:ind w:left="1134" w:hanging="567"/>
      </w:pPr>
      <w:rPr>
        <w:rFonts w:ascii="Futura Book" w:hAnsi="Futura Book" w:hint="default"/>
        <w:sz w:val="20"/>
      </w:rPr>
    </w:lvl>
    <w:lvl w:ilvl="2">
      <w:start w:val="1"/>
      <w:numFmt w:val="decimal"/>
      <w:isLgl/>
      <w:lvlText w:val="%2.%1.%3"/>
      <w:lvlJc w:val="left"/>
      <w:pPr>
        <w:ind w:left="1985" w:hanging="851"/>
      </w:pPr>
      <w:rPr>
        <w:rFonts w:ascii="Futura Book" w:hAnsi="Futura Book" w:hint="default"/>
        <w:sz w:val="20"/>
      </w:rPr>
    </w:lvl>
    <w:lvl w:ilvl="3">
      <w:start w:val="1"/>
      <w:numFmt w:val="decimal"/>
      <w:isLgl/>
      <w:lvlText w:val="%1.%3.%4"/>
      <w:lvlJc w:val="left"/>
      <w:pPr>
        <w:ind w:left="2835" w:hanging="850"/>
      </w:pPr>
      <w:rPr>
        <w:rFonts w:ascii="Futura Book" w:hAnsi="Futura Book" w:hint="default"/>
        <w:sz w:val="20"/>
      </w:rPr>
    </w:lvl>
    <w:lvl w:ilvl="4">
      <w:start w:val="1"/>
      <w:numFmt w:val="lowerLetter"/>
      <w:isLgl/>
      <w:lvlText w:val="(%5)"/>
      <w:lvlJc w:val="left"/>
      <w:pPr>
        <w:ind w:left="3402"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5C86715"/>
    <w:multiLevelType w:val="multilevel"/>
    <w:tmpl w:val="4DC4AD46"/>
    <w:styleLink w:val="1ai"/>
    <w:lvl w:ilvl="0">
      <w:start w:val="1"/>
      <w:numFmt w:val="decimal"/>
      <w:lvlText w:val="%1)"/>
      <w:lvlJc w:val="left"/>
      <w:pPr>
        <w:tabs>
          <w:tab w:val="num" w:pos="360"/>
        </w:tabs>
        <w:ind w:left="360" w:hanging="360"/>
      </w:pPr>
      <w:rPr>
        <w:rFonts w:ascii="Futura Book" w:hAnsi="Futura Book"/>
        <w:sz w:val="16"/>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B890829"/>
    <w:multiLevelType w:val="multilevel"/>
    <w:tmpl w:val="3932B52E"/>
    <w:numStyleLink w:val="PNB123-lijst"/>
  </w:abstractNum>
  <w:abstractNum w:abstractNumId="27" w15:restartNumberingAfterBreak="0">
    <w:nsid w:val="54DA0933"/>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BE64200"/>
    <w:multiLevelType w:val="multilevel"/>
    <w:tmpl w:val="FC04E50C"/>
    <w:numStyleLink w:val="PNBabclijst"/>
  </w:abstractNum>
  <w:abstractNum w:abstractNumId="29" w15:restartNumberingAfterBreak="0">
    <w:nsid w:val="6894497C"/>
    <w:multiLevelType w:val="hybridMultilevel"/>
    <w:tmpl w:val="CEE854DC"/>
    <w:lvl w:ilvl="0" w:tplc="ED662A28">
      <w:start w:val="3"/>
      <w:numFmt w:val="bullet"/>
      <w:lvlText w:val="-"/>
      <w:lvlJc w:val="left"/>
      <w:pPr>
        <w:ind w:left="720" w:hanging="360"/>
      </w:pPr>
      <w:rPr>
        <w:rFonts w:ascii="Futura Book" w:eastAsia="Times New Roman" w:hAnsi="Futura Book"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4215C1E"/>
    <w:multiLevelType w:val="multilevel"/>
    <w:tmpl w:val="4DC4AD46"/>
    <w:numStyleLink w:val="1ai"/>
  </w:abstractNum>
  <w:abstractNum w:abstractNumId="31" w15:restartNumberingAfterBreak="0">
    <w:nsid w:val="762B10D6"/>
    <w:multiLevelType w:val="multilevel"/>
    <w:tmpl w:val="3932B52E"/>
    <w:numStyleLink w:val="PNB123-lijst"/>
  </w:abstractNum>
  <w:abstractNum w:abstractNumId="32" w15:restartNumberingAfterBreak="0">
    <w:nsid w:val="762B10D7"/>
    <w:multiLevelType w:val="multilevel"/>
    <w:tmpl w:val="85DCEF6A"/>
    <w:lvl w:ilvl="0">
      <w:start w:val="1"/>
      <w:numFmt w:val="decimal"/>
      <w:lvlText w:val="%1."/>
      <w:lvlJc w:val="left"/>
      <w:pPr>
        <w:ind w:left="360" w:hanging="360"/>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62B10D8"/>
    <w:multiLevelType w:val="multilevel"/>
    <w:tmpl w:val="85DCEF6A"/>
    <w:lvl w:ilvl="0">
      <w:start w:val="1"/>
      <w:numFmt w:val="decimal"/>
      <w:lvlText w:val="%1."/>
      <w:lvlJc w:val="left"/>
      <w:pPr>
        <w:ind w:left="360" w:hanging="360"/>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62B10D9"/>
    <w:multiLevelType w:val="multilevel"/>
    <w:tmpl w:val="85DCEF6A"/>
    <w:lvl w:ilvl="0">
      <w:start w:val="1"/>
      <w:numFmt w:val="decimal"/>
      <w:lvlText w:val="%1."/>
      <w:lvlJc w:val="left"/>
      <w:pPr>
        <w:ind w:left="360" w:hanging="360"/>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62B10DA"/>
    <w:multiLevelType w:val="multilevel"/>
    <w:tmpl w:val="85DCEF6A"/>
    <w:lvl w:ilvl="0">
      <w:start w:val="1"/>
      <w:numFmt w:val="decimal"/>
      <w:lvlText w:val="%1."/>
      <w:lvlJc w:val="left"/>
      <w:pPr>
        <w:ind w:left="360" w:hanging="360"/>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25"/>
  </w:num>
  <w:num w:numId="13">
    <w:abstractNumId w:val="27"/>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12"/>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28"/>
  </w:num>
  <w:num w:numId="23">
    <w:abstractNumId w:val="24"/>
    <w:lvlOverride w:ilvl="0">
      <w:lvl w:ilvl="0">
        <w:start w:val="1"/>
        <w:numFmt w:val="decimal"/>
        <w:lvlText w:val="%1."/>
        <w:lvlJc w:val="left"/>
        <w:pPr>
          <w:ind w:left="567" w:hanging="567"/>
        </w:pPr>
        <w:rPr>
          <w:rFonts w:ascii="Futura Book" w:hAnsi="Futura Book" w:hint="default"/>
          <w:sz w:val="20"/>
        </w:rPr>
      </w:lvl>
    </w:lvlOverride>
    <w:lvlOverride w:ilvl="1">
      <w:lvl w:ilvl="1">
        <w:start w:val="1"/>
        <w:numFmt w:val="decimal"/>
        <w:isLgl/>
        <w:lvlText w:val="%1.%2"/>
        <w:lvlJc w:val="left"/>
        <w:pPr>
          <w:ind w:left="1134" w:hanging="567"/>
        </w:pPr>
        <w:rPr>
          <w:rFonts w:ascii="Futura Book" w:hAnsi="Futura Book" w:hint="default"/>
          <w:sz w:val="20"/>
        </w:rPr>
      </w:lvl>
    </w:lvlOverride>
    <w:lvlOverride w:ilvl="2">
      <w:lvl w:ilvl="2">
        <w:start w:val="1"/>
        <w:numFmt w:val="decimal"/>
        <w:isLgl/>
        <w:lvlText w:val="%2.%1.%3"/>
        <w:lvlJc w:val="left"/>
        <w:pPr>
          <w:ind w:left="1985" w:hanging="851"/>
        </w:pPr>
        <w:rPr>
          <w:rFonts w:ascii="Futura Book" w:hAnsi="Futura Book" w:hint="default"/>
          <w:sz w:val="20"/>
        </w:rPr>
      </w:lvl>
    </w:lvlOverride>
    <w:lvlOverride w:ilvl="3">
      <w:lvl w:ilvl="3">
        <w:start w:val="1"/>
        <w:numFmt w:val="lowerLetter"/>
        <w:lvlText w:val="%3%4."/>
        <w:lvlJc w:val="left"/>
        <w:pPr>
          <w:ind w:left="2835" w:hanging="850"/>
        </w:pPr>
        <w:rPr>
          <w:rFonts w:ascii="Futura Book" w:hAnsi="Futura Book" w:hint="default"/>
          <w:sz w:val="20"/>
        </w:rPr>
      </w:lvl>
    </w:lvlOverride>
    <w:lvlOverride w:ilvl="4">
      <w:lvl w:ilvl="4">
        <w:start w:val="1"/>
        <w:numFmt w:val="lowerRoman"/>
        <w:lvlText w:val="(%5)"/>
        <w:lvlJc w:val="left"/>
        <w:pPr>
          <w:ind w:left="3402" w:hanging="567"/>
        </w:pPr>
        <w:rPr>
          <w:rFonts w:hint="default"/>
        </w:rPr>
      </w:lvl>
    </w:lvlOverride>
    <w:lvlOverride w:ilvl="5">
      <w:lvl w:ilvl="5">
        <w:start w:val="1"/>
        <w:numFmt w:val="bullet"/>
        <w:lvlText w:val="-"/>
        <w:lvlJc w:val="left"/>
        <w:pPr>
          <w:tabs>
            <w:tab w:val="num" w:pos="3402"/>
          </w:tabs>
          <w:ind w:left="3969" w:hanging="567"/>
        </w:pPr>
        <w:rPr>
          <w:rFonts w:ascii="Arial" w:hAnsi="Arial" w:hint="default"/>
          <w:color w:val="auto"/>
        </w:rPr>
      </w:lvl>
    </w:lvlOverride>
    <w:lvlOverride w:ilvl="6">
      <w:lvl w:ilvl="6">
        <w:start w:val="1"/>
        <w:numFmt w:val="bullet"/>
        <w:lvlText w:val="-"/>
        <w:lvlJc w:val="left"/>
        <w:pPr>
          <w:ind w:left="4536" w:hanging="567"/>
        </w:pPr>
        <w:rPr>
          <w:rFonts w:ascii="Futura Book" w:hAnsi="Futura Book" w:hint="default"/>
          <w:color w:val="auto"/>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abstractNumId w:val="24"/>
  </w:num>
  <w:num w:numId="25">
    <w:abstractNumId w:val="24"/>
    <w:lvlOverride w:ilvl="1">
      <w:lvl w:ilvl="1">
        <w:start w:val="1"/>
        <w:numFmt w:val="decimal"/>
        <w:lvlText w:val="%1.%2"/>
        <w:lvlJc w:val="left"/>
        <w:pPr>
          <w:ind w:left="567" w:hanging="567"/>
        </w:pPr>
        <w:rPr>
          <w:rFonts w:ascii="Futura Book" w:hAnsi="Futura Book" w:hint="default"/>
          <w:sz w:val="20"/>
        </w:rPr>
      </w:lvl>
    </w:lvlOverride>
  </w:num>
  <w:num w:numId="26">
    <w:abstractNumId w:val="10"/>
  </w:num>
  <w:num w:numId="27">
    <w:abstractNumId w:val="19"/>
  </w:num>
  <w:num w:numId="28">
    <w:abstractNumId w:val="23"/>
  </w:num>
  <w:num w:numId="29">
    <w:abstractNumId w:val="11"/>
  </w:num>
  <w:num w:numId="30">
    <w:abstractNumId w:val="15"/>
  </w:num>
  <w:num w:numId="31">
    <w:abstractNumId w:val="14"/>
  </w:num>
  <w:num w:numId="32">
    <w:abstractNumId w:val="17"/>
  </w:num>
  <w:num w:numId="33">
    <w:abstractNumId w:val="26"/>
  </w:num>
  <w:num w:numId="34">
    <w:abstractNumId w:val="31"/>
  </w:num>
  <w:num w:numId="35">
    <w:abstractNumId w:val="18"/>
  </w:num>
  <w:num w:numId="36">
    <w:abstractNumId w:val="32"/>
  </w:num>
  <w:num w:numId="37">
    <w:abstractNumId w:val="33"/>
  </w:num>
  <w:num w:numId="38">
    <w:abstractNumId w:val="34"/>
  </w:num>
  <w:num w:numId="39">
    <w:abstractNumId w:val="35"/>
  </w:num>
  <w:num w:numId="40">
    <w:abstractNumId w:val="16"/>
  </w:num>
  <w:num w:numId="41">
    <w:abstractNumId w:val="29"/>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08"/>
  <w:hyphenationZone w:val="425"/>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29F"/>
    <w:rsid w:val="00004D61"/>
    <w:rsid w:val="0007326E"/>
    <w:rsid w:val="00145BD7"/>
    <w:rsid w:val="001528E7"/>
    <w:rsid w:val="001A7A7E"/>
    <w:rsid w:val="001C4DEA"/>
    <w:rsid w:val="001C6ABD"/>
    <w:rsid w:val="001E33F8"/>
    <w:rsid w:val="001E37B5"/>
    <w:rsid w:val="002332F4"/>
    <w:rsid w:val="00283665"/>
    <w:rsid w:val="002D1AFE"/>
    <w:rsid w:val="002D6319"/>
    <w:rsid w:val="002D6491"/>
    <w:rsid w:val="0033479F"/>
    <w:rsid w:val="00356FD1"/>
    <w:rsid w:val="003B4E54"/>
    <w:rsid w:val="003C3D53"/>
    <w:rsid w:val="003C468F"/>
    <w:rsid w:val="003D4E08"/>
    <w:rsid w:val="003F4BBA"/>
    <w:rsid w:val="004447EC"/>
    <w:rsid w:val="00454173"/>
    <w:rsid w:val="0046174A"/>
    <w:rsid w:val="00463486"/>
    <w:rsid w:val="00492554"/>
    <w:rsid w:val="004F4C3B"/>
    <w:rsid w:val="00507642"/>
    <w:rsid w:val="00560211"/>
    <w:rsid w:val="00597C12"/>
    <w:rsid w:val="005C15E7"/>
    <w:rsid w:val="005D2FF4"/>
    <w:rsid w:val="00616E0A"/>
    <w:rsid w:val="00630710"/>
    <w:rsid w:val="00663B77"/>
    <w:rsid w:val="00692490"/>
    <w:rsid w:val="006B4E0E"/>
    <w:rsid w:val="006F3CD6"/>
    <w:rsid w:val="00710B5C"/>
    <w:rsid w:val="007A1A2D"/>
    <w:rsid w:val="007E5739"/>
    <w:rsid w:val="008264BE"/>
    <w:rsid w:val="008313F9"/>
    <w:rsid w:val="008410C5"/>
    <w:rsid w:val="00842247"/>
    <w:rsid w:val="008604B9"/>
    <w:rsid w:val="00896A55"/>
    <w:rsid w:val="008D6070"/>
    <w:rsid w:val="00923D22"/>
    <w:rsid w:val="00945F69"/>
    <w:rsid w:val="009C6F7D"/>
    <w:rsid w:val="00A8650A"/>
    <w:rsid w:val="00AB2702"/>
    <w:rsid w:val="00AC6A13"/>
    <w:rsid w:val="00B05FD8"/>
    <w:rsid w:val="00BD0893"/>
    <w:rsid w:val="00C226DA"/>
    <w:rsid w:val="00C27849"/>
    <w:rsid w:val="00C47D6E"/>
    <w:rsid w:val="00CB4BBA"/>
    <w:rsid w:val="00D64C5B"/>
    <w:rsid w:val="00D8729F"/>
    <w:rsid w:val="00D874BD"/>
    <w:rsid w:val="00DE2119"/>
    <w:rsid w:val="00E0196C"/>
    <w:rsid w:val="00E36C76"/>
    <w:rsid w:val="00E50B91"/>
    <w:rsid w:val="00EB1E03"/>
    <w:rsid w:val="00EB6A7E"/>
    <w:rsid w:val="00EE6E9A"/>
    <w:rsid w:val="00F000F1"/>
    <w:rsid w:val="00F26AC5"/>
    <w:rsid w:val="00F30106"/>
    <w:rsid w:val="00F30B61"/>
    <w:rsid w:val="00F44760"/>
    <w:rsid w:val="00F54EBB"/>
    <w:rsid w:val="00F701F4"/>
    <w:rsid w:val="00F97F33"/>
    <w:rsid w:val="00FA7873"/>
    <w:rsid w:val="00FD2CAB"/>
    <w:rsid w:val="00FD55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0CB84"/>
  <w15:docId w15:val="{A2E73501-05CD-4F0E-8A9E-8EF38AB93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Standaard">
    <w:name w:val="Normal"/>
    <w:qFormat/>
    <w:rsid w:val="009409B6"/>
    <w:pPr>
      <w:spacing w:line="284" w:lineRule="atLeast"/>
    </w:pPr>
    <w:rPr>
      <w:rFonts w:ascii="Futura Book" w:hAnsi="Futura Book"/>
      <w:szCs w:val="24"/>
    </w:rPr>
  </w:style>
  <w:style w:type="paragraph" w:styleId="Kop1">
    <w:name w:val="heading 1"/>
    <w:basedOn w:val="Standaard"/>
    <w:next w:val="Standaard"/>
    <w:link w:val="Kop1Char"/>
    <w:qFormat/>
    <w:rsid w:val="00DC737C"/>
    <w:pPr>
      <w:keepNext/>
      <w:outlineLvl w:val="0"/>
    </w:pPr>
    <w:rPr>
      <w:rFonts w:cs="Arial"/>
      <w:b/>
      <w:bCs/>
      <w:kern w:val="32"/>
      <w:sz w:val="26"/>
      <w:szCs w:val="32"/>
    </w:rPr>
  </w:style>
  <w:style w:type="paragraph" w:styleId="Kop2">
    <w:name w:val="heading 2"/>
    <w:basedOn w:val="Kop1"/>
    <w:next w:val="Standaard"/>
    <w:qFormat/>
    <w:rsid w:val="00DC737C"/>
    <w:pPr>
      <w:outlineLvl w:val="1"/>
    </w:pPr>
    <w:rPr>
      <w:bCs w:val="0"/>
      <w:iCs/>
      <w:sz w:val="20"/>
      <w:szCs w:val="28"/>
    </w:rPr>
  </w:style>
  <w:style w:type="paragraph" w:styleId="Kop3">
    <w:name w:val="heading 3"/>
    <w:basedOn w:val="Kop2"/>
    <w:next w:val="Standaard"/>
    <w:qFormat/>
    <w:rsid w:val="00CA5B41"/>
    <w:pPr>
      <w:outlineLvl w:val="2"/>
    </w:pPr>
    <w:rPr>
      <w:bCs/>
      <w:sz w:val="16"/>
      <w:szCs w:val="26"/>
    </w:rPr>
  </w:style>
  <w:style w:type="paragraph" w:styleId="Kop4">
    <w:name w:val="heading 4"/>
    <w:basedOn w:val="Standaard"/>
    <w:next w:val="Standaard"/>
    <w:qFormat/>
    <w:rsid w:val="00CA5B41"/>
    <w:pPr>
      <w:keepNext/>
      <w:spacing w:before="240" w:after="60"/>
      <w:outlineLvl w:val="3"/>
    </w:pPr>
    <w:rPr>
      <w:bCs/>
      <w:i/>
      <w:sz w:val="16"/>
      <w:szCs w:val="28"/>
    </w:rPr>
  </w:style>
  <w:style w:type="paragraph" w:styleId="Kop5">
    <w:name w:val="heading 5"/>
    <w:basedOn w:val="Standaard"/>
    <w:next w:val="Standaard"/>
    <w:qFormat/>
    <w:rsid w:val="00CA5B41"/>
    <w:pPr>
      <w:spacing w:before="240" w:after="60"/>
      <w:outlineLvl w:val="4"/>
    </w:pPr>
    <w:rPr>
      <w:bCs/>
      <w:iCs/>
      <w:sz w:val="16"/>
      <w:szCs w:val="26"/>
    </w:rPr>
  </w:style>
  <w:style w:type="paragraph" w:styleId="Kop6">
    <w:name w:val="heading 6"/>
    <w:basedOn w:val="Standaard"/>
    <w:next w:val="Standaard"/>
    <w:rsid w:val="003A4AD2"/>
    <w:pPr>
      <w:spacing w:before="240" w:after="60"/>
      <w:outlineLvl w:val="5"/>
    </w:pPr>
    <w:rPr>
      <w:bCs/>
      <w:sz w:val="16"/>
      <w:szCs w:val="22"/>
    </w:rPr>
  </w:style>
  <w:style w:type="paragraph" w:styleId="Kop7">
    <w:name w:val="heading 7"/>
    <w:basedOn w:val="Standaard"/>
    <w:next w:val="Standaard"/>
    <w:rsid w:val="003A4AD2"/>
    <w:pPr>
      <w:spacing w:before="240" w:after="60"/>
      <w:outlineLvl w:val="6"/>
    </w:pPr>
    <w:rPr>
      <w:sz w:val="16"/>
    </w:rPr>
  </w:style>
  <w:style w:type="paragraph" w:styleId="Kop8">
    <w:name w:val="heading 8"/>
    <w:basedOn w:val="Standaard"/>
    <w:next w:val="Standaard"/>
    <w:rsid w:val="003A4AD2"/>
    <w:pPr>
      <w:spacing w:before="240" w:after="60"/>
      <w:outlineLvl w:val="7"/>
    </w:pPr>
    <w:rPr>
      <w:i/>
      <w:iCs/>
      <w:sz w:val="16"/>
    </w:rPr>
  </w:style>
  <w:style w:type="paragraph" w:styleId="Kop9">
    <w:name w:val="heading 9"/>
    <w:basedOn w:val="Standaard"/>
    <w:next w:val="Standaard"/>
    <w:rsid w:val="003A4AD2"/>
    <w:pPr>
      <w:spacing w:before="240" w:after="60"/>
      <w:outlineLvl w:val="8"/>
    </w:pPr>
    <w:rPr>
      <w:rFonts w:cs="Arial"/>
      <w:sz w:val="14"/>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styleId="111111">
    <w:name w:val="Outline List 2"/>
    <w:basedOn w:val="Geenlijst"/>
    <w:rsid w:val="00A908A9"/>
    <w:pPr>
      <w:numPr>
        <w:numId w:val="11"/>
      </w:numPr>
    </w:pPr>
  </w:style>
  <w:style w:type="numbering" w:styleId="1ai">
    <w:name w:val="Outline List 1"/>
    <w:basedOn w:val="Geenlijst"/>
    <w:rsid w:val="00A908A9"/>
    <w:pPr>
      <w:numPr>
        <w:numId w:val="12"/>
      </w:numPr>
    </w:pPr>
  </w:style>
  <w:style w:type="table" w:styleId="3D-effectenvoortabel1">
    <w:name w:val="Table 3D effects 1"/>
    <w:basedOn w:val="Standaardtabel"/>
    <w:rsid w:val="00A908A9"/>
    <w:pPr>
      <w:spacing w:line="284" w:lineRule="atLeast"/>
      <w:ind w:left="397" w:hanging="397"/>
    </w:pPr>
    <w:rPr>
      <w:rFonts w:ascii="Baskerville MT" w:hAnsi="Baskerville MT"/>
      <w:sz w:val="22"/>
    </w:r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3D-effectenvoortabel3">
    <w:name w:val="Table 3D effects 3"/>
    <w:basedOn w:val="Standaardtabel"/>
    <w:rsid w:val="00A908A9"/>
    <w:pPr>
      <w:spacing w:line="284" w:lineRule="atLeast"/>
    </w:pPr>
    <w:rPr>
      <w:rFonts w:ascii="Baskerville MT" w:hAnsi="Baskerville MT"/>
      <w:sz w:val="22"/>
    </w:r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paragraph" w:styleId="Aanhef">
    <w:name w:val="Salutation"/>
    <w:basedOn w:val="Standaard"/>
    <w:next w:val="Standaard"/>
    <w:rsid w:val="00A908A9"/>
  </w:style>
  <w:style w:type="paragraph" w:styleId="Adresenvelop">
    <w:name w:val="envelope address"/>
    <w:basedOn w:val="Standaard"/>
    <w:rsid w:val="00A908A9"/>
    <w:pPr>
      <w:framePr w:w="7920" w:h="1980" w:hRule="exact" w:hSpace="141" w:wrap="auto" w:hAnchor="page" w:xAlign="center" w:yAlign="bottom"/>
    </w:pPr>
    <w:rPr>
      <w:rFonts w:cs="Arial"/>
    </w:rPr>
  </w:style>
  <w:style w:type="paragraph" w:styleId="Afsluiting">
    <w:name w:val="Closing"/>
    <w:basedOn w:val="Standaard"/>
    <w:rsid w:val="00A908A9"/>
    <w:pPr>
      <w:ind w:left="4253"/>
    </w:pPr>
  </w:style>
  <w:style w:type="paragraph" w:styleId="Afzender">
    <w:name w:val="envelope return"/>
    <w:basedOn w:val="Standaard"/>
    <w:rsid w:val="00A908A9"/>
    <w:rPr>
      <w:rFonts w:cs="Arial"/>
      <w:szCs w:val="20"/>
    </w:rPr>
  </w:style>
  <w:style w:type="paragraph" w:styleId="Berichtkop">
    <w:name w:val="Message Header"/>
    <w:basedOn w:val="Standaard"/>
    <w:rsid w:val="00A908A9"/>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Bloktekst">
    <w:name w:val="Block Text"/>
    <w:basedOn w:val="Standaard"/>
    <w:rsid w:val="00A908A9"/>
    <w:pPr>
      <w:spacing w:after="120"/>
      <w:ind w:left="1588" w:right="1588"/>
    </w:pPr>
  </w:style>
  <w:style w:type="paragraph" w:styleId="Datum">
    <w:name w:val="Date"/>
    <w:basedOn w:val="Standaard"/>
    <w:next w:val="Standaard"/>
    <w:rsid w:val="00A908A9"/>
    <w:rPr>
      <w:sz w:val="16"/>
    </w:rPr>
  </w:style>
  <w:style w:type="table" w:styleId="Eenvoudigetabel1">
    <w:name w:val="Table Simple 1"/>
    <w:basedOn w:val="Standaardtabel"/>
    <w:rsid w:val="00A908A9"/>
    <w:pPr>
      <w:spacing w:line="284" w:lineRule="atLeast"/>
    </w:pPr>
    <w:rPr>
      <w:rFonts w:ascii="Baskerville MT" w:hAnsi="Baskerville MT"/>
      <w:sz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Eenvoudigetabel2">
    <w:name w:val="Table Simple 2"/>
    <w:basedOn w:val="Standaardtabel"/>
    <w:rsid w:val="00A908A9"/>
    <w:pPr>
      <w:spacing w:line="284" w:lineRule="atLeast"/>
    </w:pPr>
    <w:rPr>
      <w:rFonts w:ascii="Baskerville MT" w:hAnsi="Baskerville MT"/>
      <w:sz w:val="22"/>
    </w:r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Eenvoudigetabel3">
    <w:name w:val="Table Simple 3"/>
    <w:basedOn w:val="Standaardtabel"/>
    <w:rsid w:val="00A908A9"/>
    <w:pPr>
      <w:spacing w:line="284" w:lineRule="atLeast"/>
    </w:pPr>
    <w:rPr>
      <w:rFonts w:ascii="Baskerville MT" w:hAnsi="Baskerville MT"/>
      <w:sz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Eigentijdsetabel">
    <w:name w:val="Table Contemporary"/>
    <w:basedOn w:val="Standaardtabel"/>
    <w:rsid w:val="00A908A9"/>
    <w:pPr>
      <w:spacing w:line="284" w:lineRule="atLeast"/>
    </w:pPr>
    <w:rPr>
      <w:rFonts w:ascii="Baskerville MT" w:hAnsi="Baskerville MT"/>
      <w:sz w:val="22"/>
    </w:r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Elegantetabel">
    <w:name w:val="Table Elegant"/>
    <w:basedOn w:val="Standaardtabel"/>
    <w:rsid w:val="00A908A9"/>
    <w:pPr>
      <w:spacing w:line="284" w:lineRule="atLeast"/>
    </w:pPr>
    <w:rPr>
      <w:rFonts w:ascii="Baskerville MT" w:hAnsi="Baskerville MT"/>
      <w:sz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paragraph" w:styleId="E-mailhandtekening">
    <w:name w:val="E-mail Signature"/>
    <w:basedOn w:val="Standaard"/>
    <w:rsid w:val="00A908A9"/>
  </w:style>
  <w:style w:type="character" w:styleId="GevolgdeHyperlink">
    <w:name w:val="FollowedHyperlink"/>
    <w:basedOn w:val="Standaardalinea-lettertype"/>
    <w:rsid w:val="00A908A9"/>
    <w:rPr>
      <w:rFonts w:ascii="Baskerville MT" w:hAnsi="Baskerville MT"/>
      <w:color w:val="800080"/>
      <w:sz w:val="22"/>
      <w:u w:val="single"/>
    </w:rPr>
  </w:style>
  <w:style w:type="paragraph" w:styleId="Handtekening">
    <w:name w:val="Signature"/>
    <w:basedOn w:val="Standaard"/>
    <w:rsid w:val="00A908A9"/>
    <w:pPr>
      <w:ind w:left="4252"/>
    </w:pPr>
  </w:style>
  <w:style w:type="paragraph" w:styleId="HTML-voorafopgemaakt">
    <w:name w:val="HTML Preformatted"/>
    <w:basedOn w:val="Standaard"/>
    <w:rsid w:val="00A908A9"/>
    <w:rPr>
      <w:rFonts w:cs="Courier New"/>
      <w:szCs w:val="20"/>
    </w:rPr>
  </w:style>
  <w:style w:type="character" w:styleId="HTMLCode">
    <w:name w:val="HTML Code"/>
    <w:basedOn w:val="Standaardalinea-lettertype"/>
    <w:rsid w:val="00A908A9"/>
    <w:rPr>
      <w:rFonts w:ascii="Baskerville MT" w:hAnsi="Baskerville MT" w:cs="Courier New"/>
      <w:sz w:val="22"/>
      <w:szCs w:val="20"/>
    </w:rPr>
  </w:style>
  <w:style w:type="character" w:styleId="HTMLDefinition">
    <w:name w:val="HTML Definition"/>
    <w:basedOn w:val="Standaardalinea-lettertype"/>
    <w:rsid w:val="00A908A9"/>
    <w:rPr>
      <w:rFonts w:ascii="Baskerville MT" w:hAnsi="Baskerville MT"/>
      <w:i/>
      <w:iCs/>
      <w:sz w:val="22"/>
    </w:rPr>
  </w:style>
  <w:style w:type="character" w:styleId="HTMLVariable">
    <w:name w:val="HTML Variable"/>
    <w:basedOn w:val="Standaardalinea-lettertype"/>
    <w:rsid w:val="00A908A9"/>
    <w:rPr>
      <w:rFonts w:ascii="Baskerville MT" w:hAnsi="Baskerville MT"/>
      <w:i/>
      <w:iCs/>
      <w:sz w:val="22"/>
    </w:rPr>
  </w:style>
  <w:style w:type="character" w:styleId="HTML-acroniem">
    <w:name w:val="HTML Acronym"/>
    <w:basedOn w:val="Standaardalinea-lettertype"/>
    <w:rsid w:val="00A908A9"/>
    <w:rPr>
      <w:rFonts w:ascii="Baskerville MT" w:hAnsi="Baskerville MT"/>
      <w:sz w:val="22"/>
    </w:rPr>
  </w:style>
  <w:style w:type="character" w:styleId="HTML-schrijfmachine">
    <w:name w:val="HTML Typewriter"/>
    <w:basedOn w:val="Standaardalinea-lettertype"/>
    <w:rsid w:val="00B04D93"/>
    <w:rPr>
      <w:rFonts w:ascii="Baskerville MT" w:hAnsi="Baskerville MT" w:cs="Courier New"/>
      <w:sz w:val="22"/>
      <w:szCs w:val="20"/>
    </w:rPr>
  </w:style>
  <w:style w:type="character" w:styleId="HTML-toetsenbord">
    <w:name w:val="HTML Keyboard"/>
    <w:basedOn w:val="Standaardalinea-lettertype"/>
    <w:rsid w:val="00B04D93"/>
    <w:rPr>
      <w:rFonts w:ascii="Baskerville MT" w:hAnsi="Baskerville MT" w:cs="Courier New"/>
      <w:sz w:val="22"/>
      <w:szCs w:val="20"/>
    </w:rPr>
  </w:style>
  <w:style w:type="character" w:styleId="HTML-voorbeeld">
    <w:name w:val="HTML Sample"/>
    <w:basedOn w:val="Standaardalinea-lettertype"/>
    <w:rsid w:val="00B04D93"/>
    <w:rPr>
      <w:rFonts w:ascii="Baskerville MT" w:hAnsi="Baskerville MT" w:cs="Courier New"/>
      <w:sz w:val="22"/>
    </w:rPr>
  </w:style>
  <w:style w:type="character" w:styleId="Hyperlink">
    <w:name w:val="Hyperlink"/>
    <w:basedOn w:val="Standaardalinea-lettertype"/>
    <w:uiPriority w:val="99"/>
    <w:rsid w:val="00206621"/>
    <w:rPr>
      <w:rFonts w:ascii="Futura Book" w:hAnsi="Futura Book"/>
      <w:color w:val="0000FF"/>
      <w:sz w:val="20"/>
      <w:u w:val="single"/>
    </w:rPr>
  </w:style>
  <w:style w:type="table" w:styleId="Klassieketabel1">
    <w:name w:val="Table Classic 1"/>
    <w:basedOn w:val="Standaardtabel"/>
    <w:rsid w:val="003A4AD2"/>
    <w:pPr>
      <w:spacing w:line="284" w:lineRule="atLeast"/>
    </w:pPr>
    <w:rPr>
      <w:rFonts w:ascii="Baskerville MT" w:hAnsi="Baskerville MT"/>
      <w:sz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Klassieketabel2">
    <w:name w:val="Table Classic 2"/>
    <w:basedOn w:val="Standaardtabel"/>
    <w:rsid w:val="003A4AD2"/>
    <w:pPr>
      <w:spacing w:line="284" w:lineRule="atLeast"/>
    </w:pPr>
    <w:rPr>
      <w:rFonts w:ascii="Baskerville MT" w:hAnsi="Baskerville MT"/>
      <w:sz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Klassieketabel3">
    <w:name w:val="Table Classic 3"/>
    <w:basedOn w:val="Standaardtabel"/>
    <w:rsid w:val="003A4AD2"/>
    <w:pPr>
      <w:spacing w:line="284" w:lineRule="atLeast"/>
    </w:pPr>
    <w:rPr>
      <w:rFonts w:ascii="Baskerville MT" w:hAnsi="Baskerville MT"/>
      <w:color w:val="000080"/>
      <w:sz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Klassieketabel4">
    <w:name w:val="Table Classic 4"/>
    <w:basedOn w:val="Standaardtabel"/>
    <w:rsid w:val="003A4AD2"/>
    <w:pPr>
      <w:spacing w:line="284" w:lineRule="atLeast"/>
    </w:pPr>
    <w:rPr>
      <w:rFonts w:ascii="Baskerville MT" w:hAnsi="Baskerville MT"/>
      <w:sz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Kleurrijketabel1">
    <w:name w:val="Table Colorful 1"/>
    <w:basedOn w:val="Standaardtabel"/>
    <w:rsid w:val="003A4AD2"/>
    <w:pPr>
      <w:spacing w:line="284" w:lineRule="atLeast"/>
    </w:pPr>
    <w:rPr>
      <w:rFonts w:ascii="Baskerville MT" w:hAnsi="Baskerville MT"/>
      <w:color w:val="FFFFFF"/>
      <w:sz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Kleurrijketabel2">
    <w:name w:val="Table Colorful 2"/>
    <w:basedOn w:val="Standaardtabel"/>
    <w:rsid w:val="003A4AD2"/>
    <w:pPr>
      <w:spacing w:line="284" w:lineRule="atLeast"/>
    </w:pPr>
    <w:rPr>
      <w:rFonts w:ascii="Baskerville MT" w:hAnsi="Baskerville MT"/>
      <w:sz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Kleurrijketabel3">
    <w:name w:val="Table Colorful 3"/>
    <w:basedOn w:val="Standaardtabel"/>
    <w:rsid w:val="003A4AD2"/>
    <w:pPr>
      <w:spacing w:line="284" w:lineRule="atLeast"/>
    </w:pPr>
    <w:rPr>
      <w:rFonts w:ascii="Baskerville MT" w:hAnsi="Baskerville MT"/>
      <w:sz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paragraph" w:styleId="Koptekst">
    <w:name w:val="header"/>
    <w:basedOn w:val="Standaard"/>
    <w:rsid w:val="003A4AD2"/>
    <w:pPr>
      <w:tabs>
        <w:tab w:val="center" w:pos="4536"/>
        <w:tab w:val="right" w:pos="9072"/>
      </w:tabs>
    </w:pPr>
    <w:rPr>
      <w:sz w:val="14"/>
    </w:rPr>
  </w:style>
  <w:style w:type="paragraph" w:styleId="Lijst">
    <w:name w:val="List"/>
    <w:basedOn w:val="Standaard"/>
    <w:rsid w:val="003A4AD2"/>
    <w:pPr>
      <w:ind w:left="283" w:hanging="283"/>
    </w:pPr>
  </w:style>
  <w:style w:type="paragraph" w:styleId="Lijstopsomteken">
    <w:name w:val="List Bullet"/>
    <w:basedOn w:val="Standaard"/>
    <w:autoRedefine/>
    <w:rsid w:val="003A4AD2"/>
    <w:pPr>
      <w:numPr>
        <w:numId w:val="1"/>
      </w:numPr>
      <w:ind w:left="397" w:hanging="397"/>
    </w:pPr>
  </w:style>
  <w:style w:type="paragraph" w:styleId="Lijstopsomteken2">
    <w:name w:val="List Bullet 2"/>
    <w:basedOn w:val="Standaard"/>
    <w:autoRedefine/>
    <w:rsid w:val="003A4AD2"/>
    <w:pPr>
      <w:numPr>
        <w:numId w:val="2"/>
      </w:numPr>
      <w:ind w:left="794" w:hanging="397"/>
    </w:pPr>
  </w:style>
  <w:style w:type="paragraph" w:styleId="Lijstopsomteken3">
    <w:name w:val="List Bullet 3"/>
    <w:basedOn w:val="Standaard"/>
    <w:autoRedefine/>
    <w:rsid w:val="003A4AD2"/>
    <w:pPr>
      <w:numPr>
        <w:numId w:val="3"/>
      </w:numPr>
      <w:ind w:left="1191" w:hanging="397"/>
    </w:pPr>
  </w:style>
  <w:style w:type="paragraph" w:styleId="Lijstopsomteken4">
    <w:name w:val="List Bullet 4"/>
    <w:basedOn w:val="Standaard"/>
    <w:autoRedefine/>
    <w:rsid w:val="003A4AD2"/>
    <w:pPr>
      <w:numPr>
        <w:numId w:val="4"/>
      </w:numPr>
      <w:ind w:left="1588" w:hanging="397"/>
    </w:pPr>
  </w:style>
  <w:style w:type="paragraph" w:styleId="Lijstopsomteken5">
    <w:name w:val="List Bullet 5"/>
    <w:basedOn w:val="Standaard"/>
    <w:autoRedefine/>
    <w:rsid w:val="003A4AD2"/>
    <w:pPr>
      <w:numPr>
        <w:numId w:val="5"/>
      </w:numPr>
      <w:ind w:left="1985" w:hanging="397"/>
    </w:pPr>
  </w:style>
  <w:style w:type="paragraph" w:styleId="Lijstnummering">
    <w:name w:val="List Number"/>
    <w:basedOn w:val="Standaard"/>
    <w:rsid w:val="003A4AD2"/>
    <w:pPr>
      <w:numPr>
        <w:numId w:val="6"/>
      </w:numPr>
    </w:pPr>
  </w:style>
  <w:style w:type="paragraph" w:styleId="Lijstnummering2">
    <w:name w:val="List Number 2"/>
    <w:basedOn w:val="Standaard"/>
    <w:rsid w:val="003A4AD2"/>
    <w:pPr>
      <w:numPr>
        <w:numId w:val="7"/>
      </w:numPr>
    </w:pPr>
  </w:style>
  <w:style w:type="paragraph" w:styleId="Lijstnummering3">
    <w:name w:val="List Number 3"/>
    <w:basedOn w:val="Standaard"/>
    <w:rsid w:val="003A4AD2"/>
    <w:pPr>
      <w:numPr>
        <w:numId w:val="8"/>
      </w:numPr>
      <w:tabs>
        <w:tab w:val="left" w:pos="397"/>
      </w:tabs>
    </w:pPr>
  </w:style>
  <w:style w:type="paragraph" w:styleId="Lijstnummering4">
    <w:name w:val="List Number 4"/>
    <w:basedOn w:val="Standaard"/>
    <w:rsid w:val="003A4AD2"/>
    <w:pPr>
      <w:numPr>
        <w:numId w:val="9"/>
      </w:numPr>
    </w:pPr>
  </w:style>
  <w:style w:type="paragraph" w:styleId="Lijstnummering5">
    <w:name w:val="List Number 5"/>
    <w:basedOn w:val="Standaard"/>
    <w:rsid w:val="003A4AD2"/>
    <w:pPr>
      <w:numPr>
        <w:numId w:val="10"/>
      </w:numPr>
    </w:pPr>
  </w:style>
  <w:style w:type="paragraph" w:styleId="Lijstvoortzetting">
    <w:name w:val="List Continue"/>
    <w:basedOn w:val="Standaard"/>
    <w:rsid w:val="003A4AD2"/>
    <w:pPr>
      <w:spacing w:after="120"/>
      <w:ind w:left="397"/>
    </w:pPr>
  </w:style>
  <w:style w:type="paragraph" w:styleId="Lijstvoortzetting2">
    <w:name w:val="List Continue 2"/>
    <w:basedOn w:val="Standaard"/>
    <w:rsid w:val="003A4AD2"/>
    <w:pPr>
      <w:spacing w:after="120"/>
      <w:ind w:left="794"/>
    </w:pPr>
  </w:style>
  <w:style w:type="paragraph" w:styleId="Lijstvoortzetting3">
    <w:name w:val="List Continue 3"/>
    <w:basedOn w:val="Standaard"/>
    <w:rsid w:val="003A4AD2"/>
    <w:pPr>
      <w:spacing w:after="120"/>
      <w:ind w:left="1191"/>
    </w:pPr>
  </w:style>
  <w:style w:type="paragraph" w:styleId="Lijstvoortzetting4">
    <w:name w:val="List Continue 4"/>
    <w:basedOn w:val="Standaard"/>
    <w:rsid w:val="003A4AD2"/>
    <w:pPr>
      <w:spacing w:after="120"/>
      <w:ind w:left="1588"/>
    </w:pPr>
  </w:style>
  <w:style w:type="paragraph" w:styleId="Lijstvoortzetting5">
    <w:name w:val="List Continue 5"/>
    <w:basedOn w:val="Standaard"/>
    <w:rsid w:val="003A4AD2"/>
    <w:pPr>
      <w:spacing w:after="120"/>
      <w:ind w:left="1985"/>
    </w:pPr>
  </w:style>
  <w:style w:type="character" w:styleId="Nadruk">
    <w:name w:val="Emphasis"/>
    <w:basedOn w:val="Standaardalinea-lettertype"/>
    <w:rsid w:val="003A4AD2"/>
    <w:rPr>
      <w:rFonts w:ascii="Baskerville MT" w:hAnsi="Baskerville MT"/>
      <w:i/>
      <w:iCs/>
      <w:sz w:val="22"/>
    </w:rPr>
  </w:style>
  <w:style w:type="paragraph" w:styleId="Normaalweb">
    <w:name w:val="Normal (Web)"/>
    <w:basedOn w:val="Standaard"/>
    <w:rsid w:val="003A4AD2"/>
  </w:style>
  <w:style w:type="paragraph" w:customStyle="1" w:styleId="Notitiekop1">
    <w:name w:val="Notitiekop1"/>
    <w:basedOn w:val="Standaard"/>
    <w:next w:val="Standaard"/>
    <w:rsid w:val="003A4AD2"/>
  </w:style>
  <w:style w:type="character" w:styleId="Paginanummer">
    <w:name w:val="page number"/>
    <w:basedOn w:val="Standaardalinea-lettertype"/>
    <w:uiPriority w:val="99"/>
    <w:rsid w:val="003A4AD2"/>
    <w:rPr>
      <w:rFonts w:ascii="Futura Book" w:hAnsi="Futura Book"/>
      <w:sz w:val="16"/>
      <w:lang w:val="nl-NL"/>
    </w:rPr>
  </w:style>
  <w:style w:type="paragraph" w:styleId="Plattetekst3">
    <w:name w:val="Body Text 3"/>
    <w:basedOn w:val="Standaard"/>
    <w:rsid w:val="003A4AD2"/>
    <w:pPr>
      <w:spacing w:after="120"/>
    </w:pPr>
    <w:rPr>
      <w:szCs w:val="16"/>
    </w:rPr>
  </w:style>
  <w:style w:type="paragraph" w:styleId="Plattetekst">
    <w:name w:val="Body Text"/>
    <w:basedOn w:val="Standaard"/>
    <w:rsid w:val="003A4AD2"/>
    <w:pPr>
      <w:spacing w:after="120"/>
    </w:pPr>
  </w:style>
  <w:style w:type="paragraph" w:styleId="Platteteksteersteinspringing">
    <w:name w:val="Body Text First Indent"/>
    <w:basedOn w:val="Plattetekst"/>
    <w:rsid w:val="003A4AD2"/>
    <w:pPr>
      <w:ind w:firstLine="397"/>
    </w:pPr>
  </w:style>
  <w:style w:type="paragraph" w:styleId="Plattetekstinspringen">
    <w:name w:val="Body Text Indent"/>
    <w:basedOn w:val="Standaard"/>
    <w:rsid w:val="003A4AD2"/>
    <w:pPr>
      <w:spacing w:after="120"/>
      <w:ind w:left="397"/>
    </w:pPr>
  </w:style>
  <w:style w:type="paragraph" w:styleId="Platteteksteersteinspringing2">
    <w:name w:val="Body Text First Indent 2"/>
    <w:basedOn w:val="Plattetekstinspringen"/>
    <w:rsid w:val="003A4AD2"/>
    <w:pPr>
      <w:ind w:firstLine="397"/>
    </w:pPr>
  </w:style>
  <w:style w:type="paragraph" w:styleId="Plattetekstinspringen2">
    <w:name w:val="Body Text Indent 2"/>
    <w:basedOn w:val="Standaard"/>
    <w:rsid w:val="003A4AD2"/>
    <w:pPr>
      <w:spacing w:after="120" w:line="480" w:lineRule="auto"/>
      <w:ind w:left="397"/>
    </w:pPr>
  </w:style>
  <w:style w:type="paragraph" w:styleId="Plattetekstinspringen3">
    <w:name w:val="Body Text Indent 3"/>
    <w:basedOn w:val="Standaard"/>
    <w:rsid w:val="003A4AD2"/>
    <w:pPr>
      <w:spacing w:after="120"/>
      <w:ind w:left="397"/>
    </w:pPr>
    <w:rPr>
      <w:szCs w:val="16"/>
    </w:rPr>
  </w:style>
  <w:style w:type="table" w:styleId="Professioneletabel">
    <w:name w:val="Table Professional"/>
    <w:basedOn w:val="Standaardtabel"/>
    <w:rsid w:val="003A4AD2"/>
    <w:pPr>
      <w:spacing w:line="284" w:lineRule="atLeast"/>
    </w:pPr>
    <w:rPr>
      <w:rFonts w:ascii="Baskerville MT" w:hAnsi="Baskerville MT"/>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character" w:styleId="Regelnummer">
    <w:name w:val="line number"/>
    <w:basedOn w:val="Standaardalinea-lettertype"/>
    <w:rsid w:val="003A4AD2"/>
    <w:rPr>
      <w:rFonts w:ascii="Baskerville MT" w:hAnsi="Baskerville MT"/>
      <w:sz w:val="22"/>
    </w:rPr>
  </w:style>
  <w:style w:type="paragraph" w:styleId="Standaardinspringing">
    <w:name w:val="Normal Indent"/>
    <w:basedOn w:val="Standaard"/>
    <w:rsid w:val="003A4AD2"/>
    <w:pPr>
      <w:ind w:left="794"/>
    </w:pPr>
  </w:style>
  <w:style w:type="paragraph" w:styleId="Ondertitel">
    <w:name w:val="Subtitle"/>
    <w:basedOn w:val="Standaard"/>
    <w:rsid w:val="003A4AD2"/>
    <w:pPr>
      <w:spacing w:after="60"/>
      <w:jc w:val="center"/>
      <w:outlineLvl w:val="1"/>
    </w:pPr>
    <w:rPr>
      <w:rFonts w:cs="Arial"/>
    </w:rPr>
  </w:style>
  <w:style w:type="table" w:styleId="Tabelkolommen1">
    <w:name w:val="Table Columns 1"/>
    <w:basedOn w:val="Standaardtabel"/>
    <w:rsid w:val="003A4AD2"/>
    <w:pPr>
      <w:spacing w:line="284" w:lineRule="atLeast"/>
    </w:pPr>
    <w:rPr>
      <w:rFonts w:ascii="Baskerville MT" w:hAnsi="Baskerville MT"/>
      <w:b/>
      <w:bCs/>
      <w:sz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elkolommen2">
    <w:name w:val="Table Columns 2"/>
    <w:basedOn w:val="Standaardtabel"/>
    <w:rsid w:val="003A4AD2"/>
    <w:pPr>
      <w:spacing w:line="284" w:lineRule="atLeast"/>
    </w:pPr>
    <w:rPr>
      <w:rFonts w:ascii="Baskerville MT" w:hAnsi="Baskerville MT"/>
      <w:b/>
      <w:bCs/>
      <w:sz w:val="22"/>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elkolommen3">
    <w:name w:val="Table Columns 3"/>
    <w:basedOn w:val="Standaardtabel"/>
    <w:rsid w:val="003A4AD2"/>
    <w:pPr>
      <w:spacing w:line="284" w:lineRule="atLeast"/>
    </w:pPr>
    <w:rPr>
      <w:rFonts w:ascii="Baskerville MT" w:hAnsi="Baskerville MT"/>
      <w:b/>
      <w:bCs/>
      <w:sz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elkolommen4">
    <w:name w:val="Table Columns 4"/>
    <w:basedOn w:val="Standaardtabel"/>
    <w:rsid w:val="00944003"/>
    <w:pPr>
      <w:spacing w:line="284" w:lineRule="atLeast"/>
    </w:pPr>
    <w:rPr>
      <w:rFonts w:ascii="Baskerville MT" w:hAnsi="Baskerville MT"/>
      <w:sz w:val="22"/>
    </w:r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rsid w:val="00944003"/>
    <w:pPr>
      <w:spacing w:line="284" w:lineRule="atLeast"/>
    </w:pPr>
    <w:rPr>
      <w:rFonts w:ascii="Baskerville MT" w:hAnsi="Baskerville MT"/>
      <w:sz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rsid w:val="00944003"/>
    <w:pPr>
      <w:spacing w:line="284" w:lineRule="atLeast"/>
    </w:pPr>
    <w:rPr>
      <w:rFonts w:ascii="Baskerville MT" w:hAnsi="Baskerville MT"/>
      <w:sz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ellijst2">
    <w:name w:val="Table List 2"/>
    <w:basedOn w:val="Standaardtabel"/>
    <w:rsid w:val="00944003"/>
    <w:pPr>
      <w:spacing w:line="284" w:lineRule="atLeast"/>
    </w:pPr>
    <w:rPr>
      <w:rFonts w:ascii="Baskerville MT" w:hAnsi="Baskerville MT"/>
      <w:sz w:val="22"/>
    </w:r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ellijst3">
    <w:name w:val="Table List 3"/>
    <w:basedOn w:val="Standaardtabel"/>
    <w:rsid w:val="00944003"/>
    <w:pPr>
      <w:spacing w:line="284" w:lineRule="atLeast"/>
    </w:pPr>
    <w:rPr>
      <w:rFonts w:ascii="Baskerville MT" w:hAnsi="Baskerville MT"/>
      <w:sz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ellijst4">
    <w:name w:val="Table List 4"/>
    <w:basedOn w:val="Standaardtabel"/>
    <w:rsid w:val="00944003"/>
    <w:pPr>
      <w:spacing w:line="284" w:lineRule="atLeast"/>
    </w:pPr>
    <w:rPr>
      <w:rFonts w:ascii="Baskerville MT" w:hAnsi="Baskerville MT"/>
      <w:sz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ellijst5">
    <w:name w:val="Table List 5"/>
    <w:basedOn w:val="Standaardtabel"/>
    <w:rsid w:val="00944003"/>
    <w:pPr>
      <w:spacing w:line="284" w:lineRule="atLeast"/>
    </w:pPr>
    <w:rPr>
      <w:rFonts w:ascii="Baskerville MT" w:hAnsi="Baskerville MT"/>
      <w:sz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ellijst7">
    <w:name w:val="Table List 7"/>
    <w:basedOn w:val="Standaardtabel"/>
    <w:rsid w:val="00944003"/>
    <w:pPr>
      <w:spacing w:line="284" w:lineRule="atLeast"/>
    </w:pPr>
    <w:rPr>
      <w:rFonts w:ascii="Baskerville MT" w:hAnsi="Baskerville MT"/>
      <w:sz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ellijst8">
    <w:name w:val="Table List 8"/>
    <w:basedOn w:val="Standaardtabel"/>
    <w:rsid w:val="00944003"/>
    <w:pPr>
      <w:spacing w:line="284" w:lineRule="atLeast"/>
    </w:pPr>
    <w:rPr>
      <w:rFonts w:ascii="Baskerville MT" w:hAnsi="Baskerville MT"/>
      <w:sz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elraster">
    <w:name w:val="Table Grid"/>
    <w:basedOn w:val="Standaardtabel"/>
    <w:rsid w:val="00302B71"/>
    <w:pPr>
      <w:spacing w:line="284" w:lineRule="atLeast"/>
    </w:pPr>
    <w:rPr>
      <w:rFonts w:ascii="Futura Book" w:hAnsi="Futura Book"/>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utura Book" w:hAnsi="Futura Book"/>
        <w:b/>
      </w:rPr>
    </w:tblStylePr>
  </w:style>
  <w:style w:type="table" w:styleId="Tabelraster1">
    <w:name w:val="Table Grid 1"/>
    <w:basedOn w:val="Standaardtabel"/>
    <w:rsid w:val="00944003"/>
    <w:pPr>
      <w:spacing w:line="284" w:lineRule="atLeast"/>
    </w:pPr>
    <w:rPr>
      <w:rFonts w:ascii="Baskerville MT" w:hAnsi="Baskerville MT"/>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elraster2">
    <w:name w:val="Table Grid 2"/>
    <w:basedOn w:val="Standaardtabel"/>
    <w:rsid w:val="00944003"/>
    <w:pPr>
      <w:spacing w:line="284" w:lineRule="atLeast"/>
    </w:pPr>
    <w:rPr>
      <w:rFonts w:ascii="Baskerville MT" w:hAnsi="Baskerville MT"/>
      <w:sz w:val="22"/>
    </w:r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elraster3">
    <w:name w:val="Table Grid 3"/>
    <w:basedOn w:val="Standaardtabel"/>
    <w:rsid w:val="00944003"/>
    <w:pPr>
      <w:spacing w:line="284" w:lineRule="atLeast"/>
    </w:pPr>
    <w:rPr>
      <w:rFonts w:ascii="Baskerville MT" w:hAnsi="Baskerville MT"/>
      <w:sz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elraster4">
    <w:name w:val="Table Grid 4"/>
    <w:basedOn w:val="Standaardtabel"/>
    <w:rsid w:val="00944003"/>
    <w:pPr>
      <w:spacing w:line="284" w:lineRule="atLeast"/>
    </w:pPr>
    <w:rPr>
      <w:rFonts w:ascii="Baskerville MT" w:hAnsi="Baskerville MT"/>
      <w:sz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elraster5">
    <w:name w:val="Table Grid 5"/>
    <w:basedOn w:val="Standaardtabel"/>
    <w:rsid w:val="00944003"/>
    <w:pPr>
      <w:spacing w:line="284" w:lineRule="atLeast"/>
    </w:pPr>
    <w:rPr>
      <w:rFonts w:ascii="Baskerville MT" w:hAnsi="Baskerville MT"/>
      <w:sz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elraster6">
    <w:name w:val="Table Grid 6"/>
    <w:basedOn w:val="Standaardtabel"/>
    <w:rsid w:val="00944003"/>
    <w:pPr>
      <w:spacing w:line="284" w:lineRule="atLeast"/>
    </w:pPr>
    <w:rPr>
      <w:rFonts w:ascii="Baskerville MT" w:hAnsi="Baskerville MT"/>
      <w:sz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elraster7">
    <w:name w:val="Table Grid 7"/>
    <w:basedOn w:val="Standaardtabel"/>
    <w:rsid w:val="00944003"/>
    <w:pPr>
      <w:spacing w:line="284" w:lineRule="atLeast"/>
    </w:pPr>
    <w:rPr>
      <w:rFonts w:ascii="Baskerville MT" w:hAnsi="Baskerville MT"/>
      <w:b/>
      <w:bCs/>
      <w:sz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elraster8">
    <w:name w:val="Table Grid 8"/>
    <w:basedOn w:val="Standaardtabel"/>
    <w:rsid w:val="00944003"/>
    <w:pPr>
      <w:spacing w:line="284" w:lineRule="atLeast"/>
    </w:pPr>
    <w:rPr>
      <w:rFonts w:ascii="Baskerville MT" w:hAnsi="Baskerville MT"/>
      <w:sz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elthema">
    <w:name w:val="Table Theme"/>
    <w:basedOn w:val="Standaardtabel"/>
    <w:rsid w:val="00944003"/>
    <w:pPr>
      <w:spacing w:line="284" w:lineRule="atLeast"/>
    </w:pPr>
    <w:rPr>
      <w:rFonts w:ascii="Baskerville MT" w:hAnsi="Baskerville MT"/>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rsid w:val="00944003"/>
    <w:rPr>
      <w:rFonts w:cs="Courier New"/>
      <w:szCs w:val="20"/>
    </w:rPr>
  </w:style>
  <w:style w:type="paragraph" w:styleId="Titel">
    <w:name w:val="Title"/>
    <w:basedOn w:val="Standaard"/>
    <w:next w:val="Standaard"/>
    <w:qFormat/>
    <w:rsid w:val="00CA5B41"/>
    <w:pPr>
      <w:spacing w:before="240" w:after="60"/>
      <w:outlineLvl w:val="0"/>
    </w:pPr>
    <w:rPr>
      <w:rFonts w:cs="Arial"/>
      <w:b/>
      <w:bCs/>
      <w:kern w:val="28"/>
      <w:sz w:val="32"/>
      <w:szCs w:val="32"/>
    </w:rPr>
  </w:style>
  <w:style w:type="table" w:styleId="Verfijndetabel1">
    <w:name w:val="Table Subtle 1"/>
    <w:basedOn w:val="Standaardtabel"/>
    <w:rsid w:val="00944003"/>
    <w:pPr>
      <w:spacing w:line="284" w:lineRule="atLeast"/>
    </w:pPr>
    <w:rPr>
      <w:rFonts w:ascii="Baskerville MT" w:hAnsi="Baskerville MT"/>
      <w:sz w:val="22"/>
    </w:r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Verfijndetabel2">
    <w:name w:val="Table Subtle 2"/>
    <w:basedOn w:val="Standaardtabel"/>
    <w:rsid w:val="00944003"/>
    <w:pPr>
      <w:spacing w:line="284" w:lineRule="atLeast"/>
    </w:pPr>
    <w:rPr>
      <w:rFonts w:ascii="Baskerville MT" w:hAnsi="Baskerville MT"/>
      <w:sz w:val="22"/>
    </w:r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paragraph" w:styleId="Voettekst">
    <w:name w:val="footer"/>
    <w:basedOn w:val="Standaard"/>
    <w:link w:val="VoettekstChar"/>
    <w:uiPriority w:val="99"/>
    <w:rsid w:val="0082228C"/>
    <w:pPr>
      <w:tabs>
        <w:tab w:val="center" w:pos="4536"/>
        <w:tab w:val="right" w:pos="9072"/>
      </w:tabs>
    </w:pPr>
    <w:rPr>
      <w:sz w:val="14"/>
      <w:szCs w:val="16"/>
    </w:rPr>
  </w:style>
  <w:style w:type="table" w:styleId="Webtabel1">
    <w:name w:val="Table Web 1"/>
    <w:basedOn w:val="Standaardtabel"/>
    <w:rsid w:val="00944003"/>
    <w:pPr>
      <w:spacing w:line="284" w:lineRule="atLeast"/>
    </w:pPr>
    <w:rPr>
      <w:rFonts w:ascii="Baskerville MT" w:hAnsi="Baskerville MT"/>
      <w:sz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Webtabel2">
    <w:name w:val="Table Web 2"/>
    <w:basedOn w:val="Standaardtabel"/>
    <w:rsid w:val="00944003"/>
    <w:pPr>
      <w:spacing w:line="284" w:lineRule="atLeast"/>
    </w:pPr>
    <w:rPr>
      <w:rFonts w:ascii="Baskerville MT" w:hAnsi="Baskerville MT"/>
      <w:sz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Webtabel3">
    <w:name w:val="Table Web 3"/>
    <w:basedOn w:val="Standaardtabel"/>
    <w:rsid w:val="00944003"/>
    <w:pPr>
      <w:spacing w:line="284" w:lineRule="atLeast"/>
    </w:pPr>
    <w:rPr>
      <w:rFonts w:ascii="Baskerville MT" w:hAnsi="Baskerville MT"/>
      <w:sz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character" w:styleId="Zwaar">
    <w:name w:val="Strong"/>
    <w:basedOn w:val="Standaardalinea-lettertype"/>
    <w:rsid w:val="00944003"/>
    <w:rPr>
      <w:rFonts w:ascii="Baskerville MT" w:hAnsi="Baskerville MT"/>
      <w:b/>
      <w:bCs/>
      <w:sz w:val="22"/>
      <w:lang w:val="nl-NL"/>
    </w:rPr>
  </w:style>
  <w:style w:type="paragraph" w:styleId="Bijschrift">
    <w:name w:val="caption"/>
    <w:basedOn w:val="Standaard"/>
    <w:next w:val="Standaard"/>
    <w:uiPriority w:val="35"/>
    <w:unhideWhenUsed/>
    <w:rsid w:val="00CA5B41"/>
    <w:pPr>
      <w:spacing w:after="200" w:line="240" w:lineRule="auto"/>
    </w:pPr>
    <w:rPr>
      <w:bCs/>
      <w:i/>
      <w:color w:val="000000" w:themeColor="text1"/>
      <w:sz w:val="16"/>
      <w:szCs w:val="18"/>
    </w:rPr>
  </w:style>
  <w:style w:type="paragraph" w:styleId="Voetnoottekst">
    <w:name w:val="footnote text"/>
    <w:basedOn w:val="Standaard"/>
    <w:link w:val="VoetnoottekstChar"/>
    <w:uiPriority w:val="99"/>
    <w:semiHidden/>
    <w:unhideWhenUsed/>
    <w:rsid w:val="006227C6"/>
    <w:pPr>
      <w:spacing w:line="240" w:lineRule="auto"/>
    </w:pPr>
    <w:rPr>
      <w:sz w:val="16"/>
      <w:szCs w:val="20"/>
    </w:rPr>
  </w:style>
  <w:style w:type="character" w:customStyle="1" w:styleId="VoetnoottekstChar">
    <w:name w:val="Voetnoottekst Char"/>
    <w:basedOn w:val="Standaardalinea-lettertype"/>
    <w:link w:val="Voetnoottekst"/>
    <w:uiPriority w:val="99"/>
    <w:semiHidden/>
    <w:rsid w:val="006227C6"/>
    <w:rPr>
      <w:rFonts w:ascii="Futura Book" w:hAnsi="Futura Book"/>
      <w:sz w:val="16"/>
    </w:rPr>
  </w:style>
  <w:style w:type="character" w:styleId="Voetnootmarkering">
    <w:name w:val="footnote reference"/>
    <w:basedOn w:val="Standaardalinea-lettertype"/>
    <w:uiPriority w:val="99"/>
    <w:semiHidden/>
    <w:unhideWhenUsed/>
    <w:rsid w:val="006227C6"/>
    <w:rPr>
      <w:vertAlign w:val="superscript"/>
    </w:rPr>
  </w:style>
  <w:style w:type="paragraph" w:styleId="Inhopg1">
    <w:name w:val="toc 1"/>
    <w:basedOn w:val="Standaard"/>
    <w:next w:val="Standaard"/>
    <w:autoRedefine/>
    <w:uiPriority w:val="39"/>
    <w:unhideWhenUsed/>
    <w:rsid w:val="00CA5B41"/>
    <w:pPr>
      <w:spacing w:after="100"/>
    </w:pPr>
    <w:rPr>
      <w:b/>
      <w:sz w:val="18"/>
    </w:rPr>
  </w:style>
  <w:style w:type="paragraph" w:styleId="Inhopg2">
    <w:name w:val="toc 2"/>
    <w:basedOn w:val="Standaard"/>
    <w:next w:val="Standaard"/>
    <w:autoRedefine/>
    <w:uiPriority w:val="39"/>
    <w:unhideWhenUsed/>
    <w:rsid w:val="0082228C"/>
    <w:pPr>
      <w:spacing w:after="100"/>
      <w:ind w:left="220"/>
    </w:pPr>
  </w:style>
  <w:style w:type="paragraph" w:styleId="Ballontekst">
    <w:name w:val="Balloon Text"/>
    <w:basedOn w:val="Standaard"/>
    <w:link w:val="BallontekstChar"/>
    <w:uiPriority w:val="99"/>
    <w:semiHidden/>
    <w:unhideWhenUsed/>
    <w:rsid w:val="00CA5B41"/>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A5B41"/>
    <w:rPr>
      <w:rFonts w:ascii="Tahoma" w:hAnsi="Tahoma" w:cs="Tahoma"/>
      <w:sz w:val="16"/>
      <w:szCs w:val="16"/>
    </w:rPr>
  </w:style>
  <w:style w:type="paragraph" w:styleId="Kopvaninhoudsopgave">
    <w:name w:val="TOC Heading"/>
    <w:next w:val="Standaard"/>
    <w:uiPriority w:val="39"/>
    <w:semiHidden/>
    <w:unhideWhenUsed/>
    <w:qFormat/>
    <w:rsid w:val="00CA5B41"/>
    <w:pPr>
      <w:keepLines/>
      <w:spacing w:before="480" w:line="276" w:lineRule="auto"/>
    </w:pPr>
    <w:rPr>
      <w:rFonts w:ascii="Futura Book" w:eastAsiaTheme="majorEastAsia" w:hAnsi="Futura Book" w:cstheme="majorBidi"/>
      <w:b/>
      <w:bCs/>
      <w:sz w:val="26"/>
      <w:szCs w:val="28"/>
    </w:rPr>
  </w:style>
  <w:style w:type="paragraph" w:styleId="Inhopg3">
    <w:name w:val="toc 3"/>
    <w:basedOn w:val="Standaard"/>
    <w:next w:val="Standaard"/>
    <w:autoRedefine/>
    <w:uiPriority w:val="39"/>
    <w:unhideWhenUsed/>
    <w:rsid w:val="00CA5B41"/>
    <w:pPr>
      <w:spacing w:after="100"/>
      <w:ind w:left="400"/>
    </w:pPr>
  </w:style>
  <w:style w:type="paragraph" w:customStyle="1" w:styleId="PNBopsommen">
    <w:name w:val="PNB opsommen"/>
    <w:qFormat/>
    <w:rsid w:val="0072066C"/>
    <w:pPr>
      <w:numPr>
        <w:numId w:val="17"/>
      </w:numPr>
    </w:pPr>
    <w:rPr>
      <w:rFonts w:ascii="Futura Book" w:hAnsi="Futura Book"/>
      <w:noProof/>
      <w:szCs w:val="24"/>
      <w:lang w:val="fr-FR"/>
    </w:rPr>
  </w:style>
  <w:style w:type="paragraph" w:styleId="Lijstalinea">
    <w:name w:val="List Paragraph"/>
    <w:basedOn w:val="Standaard"/>
    <w:uiPriority w:val="34"/>
    <w:qFormat/>
    <w:rsid w:val="001B515E"/>
    <w:pPr>
      <w:ind w:left="720"/>
      <w:contextualSpacing/>
    </w:pPr>
  </w:style>
  <w:style w:type="numbering" w:customStyle="1" w:styleId="PNBopsomlijst">
    <w:name w:val="PNB opsomlijst"/>
    <w:uiPriority w:val="99"/>
    <w:rsid w:val="0072066C"/>
    <w:pPr>
      <w:numPr>
        <w:numId w:val="17"/>
      </w:numPr>
    </w:pPr>
  </w:style>
  <w:style w:type="paragraph" w:customStyle="1" w:styleId="PNBabc-lijst">
    <w:name w:val="PNB abc-lijst"/>
    <w:basedOn w:val="Standaard"/>
    <w:qFormat/>
    <w:rsid w:val="0072066C"/>
    <w:pPr>
      <w:numPr>
        <w:numId w:val="22"/>
      </w:numPr>
    </w:pPr>
    <w:rPr>
      <w:noProof/>
      <w:lang w:val="fr-FR"/>
    </w:rPr>
  </w:style>
  <w:style w:type="numbering" w:customStyle="1" w:styleId="PNBabclijst">
    <w:name w:val="PNB abc lijst"/>
    <w:uiPriority w:val="99"/>
    <w:rsid w:val="0072066C"/>
    <w:pPr>
      <w:numPr>
        <w:numId w:val="19"/>
      </w:numPr>
    </w:pPr>
  </w:style>
  <w:style w:type="numbering" w:customStyle="1" w:styleId="PNB123-lijst">
    <w:name w:val="PNB 123-lijst"/>
    <w:uiPriority w:val="99"/>
    <w:rsid w:val="002719F8"/>
    <w:pPr>
      <w:numPr>
        <w:numId w:val="32"/>
      </w:numPr>
    </w:pPr>
  </w:style>
  <w:style w:type="table" w:styleId="Lichtelijst-accent1">
    <w:name w:val="Light List Accent 1"/>
    <w:basedOn w:val="Standaardtabel"/>
    <w:uiPriority w:val="61"/>
    <w:rsid w:val="009409B6"/>
    <w:tblPr>
      <w:tblStyleRowBandSize w:val="1"/>
      <w:tblStyleColBandSize w:val="1"/>
      <w:tblBorders>
        <w:top w:val="single" w:sz="8" w:space="0" w:color="006E79" w:themeColor="accent1"/>
        <w:left w:val="single" w:sz="8" w:space="0" w:color="006E79" w:themeColor="accent1"/>
        <w:bottom w:val="single" w:sz="8" w:space="0" w:color="006E79" w:themeColor="accent1"/>
        <w:right w:val="single" w:sz="8" w:space="0" w:color="006E79" w:themeColor="accent1"/>
      </w:tblBorders>
    </w:tblPr>
    <w:tblStylePr w:type="firstRow">
      <w:pPr>
        <w:spacing w:before="0" w:after="0" w:line="240" w:lineRule="auto"/>
      </w:pPr>
      <w:rPr>
        <w:b/>
        <w:bCs/>
        <w:color w:val="FFFFFF" w:themeColor="background1"/>
      </w:rPr>
      <w:tblPr/>
      <w:tcPr>
        <w:shd w:val="clear" w:color="auto" w:fill="006E79" w:themeFill="accent1"/>
      </w:tcPr>
    </w:tblStylePr>
    <w:tblStylePr w:type="lastRow">
      <w:pPr>
        <w:spacing w:before="0" w:after="0" w:line="240" w:lineRule="auto"/>
      </w:pPr>
      <w:rPr>
        <w:b/>
        <w:bCs/>
      </w:rPr>
      <w:tblPr/>
      <w:tcPr>
        <w:tcBorders>
          <w:top w:val="double" w:sz="6" w:space="0" w:color="006E79" w:themeColor="accent1"/>
          <w:left w:val="single" w:sz="8" w:space="0" w:color="006E79" w:themeColor="accent1"/>
          <w:bottom w:val="single" w:sz="8" w:space="0" w:color="006E79" w:themeColor="accent1"/>
          <w:right w:val="single" w:sz="8" w:space="0" w:color="006E79" w:themeColor="accent1"/>
        </w:tcBorders>
      </w:tcPr>
    </w:tblStylePr>
    <w:tblStylePr w:type="firstCol">
      <w:rPr>
        <w:b/>
        <w:bCs/>
      </w:rPr>
    </w:tblStylePr>
    <w:tblStylePr w:type="lastCol">
      <w:rPr>
        <w:b/>
        <w:bCs/>
      </w:rPr>
    </w:tblStylePr>
    <w:tblStylePr w:type="band1Vert">
      <w:tblPr/>
      <w:tcPr>
        <w:tcBorders>
          <w:top w:val="single" w:sz="8" w:space="0" w:color="006E79" w:themeColor="accent1"/>
          <w:left w:val="single" w:sz="8" w:space="0" w:color="006E79" w:themeColor="accent1"/>
          <w:bottom w:val="single" w:sz="8" w:space="0" w:color="006E79" w:themeColor="accent1"/>
          <w:right w:val="single" w:sz="8" w:space="0" w:color="006E79" w:themeColor="accent1"/>
        </w:tcBorders>
      </w:tcPr>
    </w:tblStylePr>
    <w:tblStylePr w:type="band1Horz">
      <w:tblPr/>
      <w:tcPr>
        <w:tcBorders>
          <w:top w:val="single" w:sz="8" w:space="0" w:color="006E79" w:themeColor="accent1"/>
          <w:left w:val="single" w:sz="8" w:space="0" w:color="006E79" w:themeColor="accent1"/>
          <w:bottom w:val="single" w:sz="8" w:space="0" w:color="006E79" w:themeColor="accent1"/>
          <w:right w:val="single" w:sz="8" w:space="0" w:color="006E79" w:themeColor="accent1"/>
        </w:tcBorders>
      </w:tcPr>
    </w:tblStylePr>
  </w:style>
  <w:style w:type="paragraph" w:customStyle="1" w:styleId="PNB123-Lijst0">
    <w:name w:val="PNB 123-Lijst"/>
    <w:basedOn w:val="Standaard"/>
    <w:qFormat/>
    <w:rsid w:val="002719F8"/>
    <w:pPr>
      <w:numPr>
        <w:numId w:val="35"/>
      </w:numPr>
    </w:pPr>
  </w:style>
  <w:style w:type="character" w:customStyle="1" w:styleId="VoettekstChar">
    <w:name w:val="Voettekst Char"/>
    <w:basedOn w:val="Standaardalinea-lettertype"/>
    <w:link w:val="Voettekst"/>
    <w:uiPriority w:val="99"/>
    <w:rsid w:val="00437991"/>
    <w:rPr>
      <w:rFonts w:ascii="Futura Book" w:hAnsi="Futura Book"/>
      <w:sz w:val="14"/>
      <w:szCs w:val="16"/>
    </w:rPr>
  </w:style>
  <w:style w:type="paragraph" w:customStyle="1" w:styleId="PNB">
    <w:name w:val="PNB"/>
    <w:basedOn w:val="Standaard"/>
    <w:uiPriority w:val="99"/>
    <w:rsid w:val="00713898"/>
    <w:rPr>
      <w:sz w:val="16"/>
      <w:szCs w:val="20"/>
    </w:rPr>
  </w:style>
  <w:style w:type="paragraph" w:customStyle="1" w:styleId="referentiekop">
    <w:name w:val="referentiekop"/>
    <w:basedOn w:val="Kop1"/>
    <w:uiPriority w:val="99"/>
    <w:rsid w:val="00713898"/>
    <w:rPr>
      <w:rFonts w:cs="Times New Roman"/>
      <w:bCs w:val="0"/>
      <w:kern w:val="0"/>
      <w:sz w:val="14"/>
      <w:szCs w:val="20"/>
    </w:rPr>
  </w:style>
  <w:style w:type="character" w:customStyle="1" w:styleId="Kop1Char">
    <w:name w:val="Kop 1 Char"/>
    <w:basedOn w:val="Standaardalinea-lettertype"/>
    <w:link w:val="Kop1"/>
    <w:rsid w:val="008604B9"/>
    <w:rPr>
      <w:rFonts w:ascii="Futura Book" w:hAnsi="Futura Book" w:cs="Arial"/>
      <w:b/>
      <w:bCs/>
      <w:kern w:val="32"/>
      <w:sz w:val="2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889111">
      <w:bodyDiv w:val="1"/>
      <w:marLeft w:val="0"/>
      <w:marRight w:val="0"/>
      <w:marTop w:val="0"/>
      <w:marBottom w:val="0"/>
      <w:divBdr>
        <w:top w:val="none" w:sz="0" w:space="0" w:color="auto"/>
        <w:left w:val="none" w:sz="0" w:space="0" w:color="auto"/>
        <w:bottom w:val="none" w:sz="0" w:space="0" w:color="auto"/>
        <w:right w:val="none" w:sz="0" w:space="0" w:color="auto"/>
      </w:divBdr>
    </w:div>
    <w:div w:id="203387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rainps.brabant.nl/informatie/handboek-ps/beleids-en-p-en-c-cyclus.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NB groen">
  <a:themeElements>
    <a:clrScheme name="PNB groen">
      <a:dk1>
        <a:sysClr val="windowText" lastClr="000000"/>
      </a:dk1>
      <a:lt1>
        <a:sysClr val="window" lastClr="FFFFFF"/>
      </a:lt1>
      <a:dk2>
        <a:srgbClr val="006E79"/>
      </a:dk2>
      <a:lt2>
        <a:srgbClr val="EEECE1"/>
      </a:lt2>
      <a:accent1>
        <a:srgbClr val="006E79"/>
      </a:accent1>
      <a:accent2>
        <a:srgbClr val="009BA4"/>
      </a:accent2>
      <a:accent3>
        <a:srgbClr val="006B2D"/>
      </a:accent3>
      <a:accent4>
        <a:srgbClr val="13A538"/>
      </a:accent4>
      <a:accent5>
        <a:srgbClr val="AFCA0B"/>
      </a:accent5>
      <a:accent6>
        <a:srgbClr val="FFE500"/>
      </a:accent6>
      <a:hlink>
        <a:srgbClr val="0000FF"/>
      </a:hlink>
      <a:folHlink>
        <a:srgbClr val="800080"/>
      </a:folHlink>
    </a:clrScheme>
    <a:fontScheme name="Aangepast 1">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95DC0-EB69-454A-8AE1-2CF5FCDE5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3503</Words>
  <Characters>22037</Characters>
  <Application>Microsoft Office Word</Application>
  <DocSecurity>0</DocSecurity>
  <Lines>2003</Lines>
  <Paragraphs>1021</Paragraphs>
  <ScaleCrop>false</ScaleCrop>
  <HeadingPairs>
    <vt:vector size="2" baseType="variant">
      <vt:variant>
        <vt:lpstr>Titel</vt:lpstr>
      </vt:variant>
      <vt:variant>
        <vt:i4>1</vt:i4>
      </vt:variant>
    </vt:vector>
  </HeadingPairs>
  <TitlesOfParts>
    <vt:vector size="1" baseType="lpstr">
      <vt:lpstr/>
    </vt:vector>
  </TitlesOfParts>
  <Company>Provincie Noord-Brabant</Company>
  <LinksUpToDate>false</LinksUpToDate>
  <CharactersWithSpaces>24519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Eppenhof, Johan</dc:creator>
  <cp:lastModifiedBy>Johan Eppenhof</cp:lastModifiedBy>
  <cp:revision>2</cp:revision>
  <dcterms:created xsi:type="dcterms:W3CDTF">2020-05-28T17:21:00Z</dcterms:created>
  <dcterms:modified xsi:type="dcterms:W3CDTF">2020-05-28T17:21:00Z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RSA_GUID">
    <vt:lpwstr>8d5d50c5-2dfa-e09b-6614-7e811c27f1a1</vt:lpwstr>
  </property>
  <property fmtid="{D5CDD505-2E9C-101B-9397-08002B2CF9AE}" pid="3" name="CORSA_OBJECTTYPE">
    <vt:lpwstr>S</vt:lpwstr>
  </property>
  <property fmtid="{D5CDD505-2E9C-101B-9397-08002B2CF9AE}" pid="4" name="CORSA_OBJECTID">
    <vt:lpwstr>4677060</vt:lpwstr>
  </property>
  <property fmtid="{D5CDD505-2E9C-101B-9397-08002B2CF9AE}" pid="5" name="CORSA_VERSION">
    <vt:lpwstr>16</vt:lpwstr>
  </property>
</Properties>
</file>